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المذكّر والمؤنّث والتاء المربوطة والمفتوحة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ورقة تلخيص: المذكّر والمؤنّث، والفرق بين التاء المربوطة والتاء المفتوحة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المذكّر والمؤنّث</w:t>
      </w:r>
    </w:p>
    <w:p>
      <w:pPr>
        <w:bidi/>
        <w:spacing w:before="0" w:after="40"/>
        <w:jc w:val="both"/>
      </w:pPr>
      <w:r>
        <w:rPr>
          <w:rtl/>
        </w:rPr>
        <w:t>نصوغ المؤنّث غالبًا بزيادة تاء مربوطة، ونؤنّث الفعل الماضي بتاء ساكنة.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المذكّر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طالب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طالبة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ممرّض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ممرّضة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جلسَ الولد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جلسَت البنت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التاء المربوطة والتاء المفتوحة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التاء المربوطة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التاء المفتوحة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شكلها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ة / ـة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 / ـت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لفظها عند الوقف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هاء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تاء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أين نجدها؟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آخر أسماء مؤنّثة كثيرة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الأفعال، وجمع المؤنّث السالم، وأسماء مثل: بيت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أمثلة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وردة، مدينة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سكتَتْ، وردات، صوت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طريقة الوقف</w:t>
      </w:r>
    </w:p>
    <w:p>
      <w:pPr>
        <w:bidi/>
        <w:spacing w:before="0" w:after="20"/>
        <w:jc w:val="both"/>
      </w:pPr>
      <w:r>
        <w:rPr>
          <w:rtl/>
        </w:rPr>
        <w:t>1. أقرأ الكلمة وأقف عليها.</w:t>
      </w:r>
    </w:p>
    <w:p>
      <w:pPr>
        <w:bidi/>
        <w:spacing w:before="0" w:after="20"/>
        <w:jc w:val="both"/>
      </w:pPr>
      <w:r>
        <w:rPr>
          <w:rtl/>
        </w:rPr>
        <w:t>2. إذا سمعتُ هاءً أكتب تاءً مربوطة: قصّة.</w:t>
      </w:r>
    </w:p>
    <w:p>
      <w:pPr>
        <w:bidi/>
        <w:spacing w:before="0" w:after="20"/>
        <w:jc w:val="both"/>
      </w:pPr>
      <w:r>
        <w:rPr>
          <w:rtl/>
        </w:rPr>
        <w:t>3. إذا سمعتُ تاءً أكتب تاءً مفتوحة: نبات.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قِف على الكلمة: إذا لفظتَ التاء هاءً فهي مربوطة (شجرة: شجره)، وإذا بقيت تاءً فهي مفتوحة (بيت: بيت).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أكمل بالتاء المناسبة: «سافرَ_ سلمى إلى المدين_». ___</w:t>
      </w:r>
    </w:p>
    <w:p>
      <w:pPr>
        <w:bidi/>
        <w:spacing w:before="0" w:after="20"/>
        <w:jc w:val="both"/>
      </w:pPr>
      <w:r>
        <w:rPr>
          <w:rtl/>
        </w:rPr>
        <w:t>1. «سافرَ» فعل، والتاء في آخر الفعل تاء مفتوحة: سافرَتْ.</w:t>
      </w:r>
    </w:p>
    <w:p>
      <w:pPr>
        <w:bidi/>
        <w:spacing w:before="0" w:after="20"/>
        <w:jc w:val="both"/>
      </w:pPr>
      <w:r>
        <w:rPr>
          <w:rtl/>
        </w:rPr>
        <w:t>2. «المدين_» اسم، وعند الوقف نلفظها هاءً: المدينة.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سافرَتْ، المدينة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نفحص أنفسنا – أكمل الفراغ:</w:t>
      </w:r>
    </w:p>
    <w:p>
      <w:pPr>
        <w:bidi/>
        <w:spacing w:before="0" w:after="60"/>
        <w:jc w:val="both"/>
      </w:pPr>
      <w:r>
        <w:rPr>
          <w:rtl/>
        </w:rPr>
        <w:t>أ. مؤنّث «فلّاح»: __________.</w:t>
      </w:r>
    </w:p>
    <w:p>
      <w:pPr>
        <w:bidi/>
        <w:spacing w:before="0" w:after="60"/>
        <w:jc w:val="both"/>
      </w:pPr>
      <w:r>
        <w:rPr>
          <w:rtl/>
        </w:rPr>
        <w:t>ب. التاء في «سمكة» تاء __________.</w:t>
      </w:r>
    </w:p>
    <w:p>
      <w:pPr>
        <w:bidi/>
        <w:spacing w:before="0" w:after="60"/>
        <w:jc w:val="both"/>
      </w:pPr>
      <w:r>
        <w:rPr>
          <w:rtl/>
        </w:rPr>
        <w:t>ج. التاء في «صوت» تاء __________.</w:t>
      </w:r>
    </w:p>
    <w:p>
      <w:pPr>
        <w:bidi/>
        <w:spacing w:before="0" w:after="60"/>
        <w:jc w:val="both"/>
      </w:pPr>
      <w:r>
        <w:rPr>
          <w:rtl/>
        </w:rPr>
        <w:t>د. «رسمَ الولد»، «__________ البنت».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فلّاحة · ب. مربوطة · ج. مفتوحة · د. رسمَت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kkal Majalla" w:hAnsi="Sakkal Majalla" w:cs="Sakkal Majalla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