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الرابع   |   ورقة تلخيص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6D28D9"/>
          <w:sz w:val="44"/>
          <w:szCs w:val="44"/>
          <w:rtl/>
        </w:rPr>
        <w:t>أسماء الإشارة</w:t>
      </w:r>
    </w:p>
    <w:p>
      <w:pPr>
        <w:bidi/>
        <w:spacing w:before="0" w:after="160"/>
        <w:jc w:val="both"/>
      </w:pPr>
      <w:r>
        <w:rPr>
          <w:rFonts w:ascii="Tahoma" w:hAnsi="Tahoma" w:cs="Tahoma"/>
          <w:b/>
          <w:bCs/>
          <w:color w:val="6D28D9"/>
          <w:sz w:val="24"/>
          <w:szCs w:val="24"/>
          <w:rtl/>
        </w:rPr>
        <w:t>ورقة تلخيص: أسماء الإشارة للقريب وللبعيد ومتى نستعمل كلًّا منها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4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6D28D9"/>
          <w:sz w:val="28"/>
          <w:szCs w:val="28"/>
          <w:rtl/>
        </w:rPr>
        <w:t>◆ جدول أسماء الإشارة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المشار إليه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للقريب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للبعيد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مفرد مذكّر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هذا الولد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ذلك الولد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مفرد مؤنّث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هذه البنت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تلك البنت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مثنّى مذكّر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هذان الولدان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مثنّى مؤنّث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هاتان البنتان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(مذكّر أو مؤنّث)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هؤلاء التلاميذ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أولئك التلاميذ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6D28D9"/>
          <w:sz w:val="28"/>
          <w:szCs w:val="28"/>
          <w:rtl/>
        </w:rPr>
        <w:t>◆ قواعد مهمّة</w:t>
      </w:r>
    </w:p>
    <w:p>
      <w:pPr>
        <w:bidi/>
        <w:spacing w:before="0" w:after="20"/>
        <w:jc w:val="both"/>
      </w:pPr>
      <w:r>
        <w:rPr>
          <w:rtl/>
        </w:rPr>
        <w:t>1. اسم الإشارة يطابق المشار إليه في التذكير والتأنيث والعدد.</w:t>
      </w:r>
    </w:p>
    <w:p>
      <w:pPr>
        <w:bidi/>
        <w:spacing w:before="0" w:after="20"/>
        <w:jc w:val="both"/>
      </w:pPr>
      <w:r>
        <w:rPr>
          <w:rtl/>
        </w:rPr>
        <w:t>2. جمع غير العاقل (كتب، أشجار، بيوت) نشير إليه بـ«هذه» أو «تلك».</w:t>
      </w:r>
    </w:p>
    <w:p>
      <w:pPr>
        <w:bidi/>
        <w:spacing w:before="0" w:after="20"/>
        <w:jc w:val="both"/>
      </w:pPr>
      <w:r>
        <w:rPr>
          <w:rtl/>
        </w:rPr>
        <w:t>3. بعد حرف الجرّ نقول: «هذين» و«هاتين»، مثل: نظرتُ إلى هذين الولدين.</w:t>
      </w: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6D28D9"/>
          <w:sz w:val="28"/>
          <w:szCs w:val="28"/>
          <w:rtl/>
        </w:rPr>
        <w:t>◆ الإملاء</w:t>
      </w:r>
    </w:p>
    <w:p>
      <w:pPr>
        <w:bidi/>
        <w:spacing w:before="0" w:after="40"/>
        <w:jc w:val="both"/>
      </w:pPr>
      <w:r>
        <w:rPr>
          <w:rtl/>
        </w:rPr>
        <w:t>نكتب: هذا، هذه، ذلك، هؤلاء، أولئك. ولا نكتب: هاذا، هاذه، ذالك.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مثال: هؤلاء أصدقائي. · أولئك جيراننا.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قبل أن تختار اسم الإشارة اسأل: هل المشار إليه قريب أم بعيد؟ مذكّر أم مؤنّث؟ مفرد أم مثنّى أم جمع؟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___ الحدائق جميلة. (قريبة)</w:t>
      </w:r>
    </w:p>
    <w:p>
      <w:pPr>
        <w:bidi/>
        <w:spacing w:before="0" w:after="20"/>
        <w:jc w:val="both"/>
      </w:pPr>
      <w:r>
        <w:rPr>
          <w:rtl/>
        </w:rPr>
        <w:t>1. «الحدائق» جمع لغير العاقل.</w:t>
      </w:r>
    </w:p>
    <w:p>
      <w:pPr>
        <w:bidi/>
        <w:spacing w:before="0" w:after="20"/>
        <w:jc w:val="both"/>
      </w:pPr>
      <w:r>
        <w:rPr>
          <w:rtl/>
        </w:rPr>
        <w:t>2. جمع غير العاقل نشير إليه للقريب بـ«هذه».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هذه</w:t>
      </w:r>
    </w:p>
    <w:p>
      <w:pPr>
        <w:bidi/>
        <w:spacing w:before="120" w:after="80"/>
        <w:jc w:val="both"/>
      </w:pPr>
      <w:r>
        <w:rPr>
          <w:rFonts w:ascii="Arial" w:hAnsi="Arial" w:cs="Arial"/>
          <w:b/>
          <w:bCs/>
          <w:color w:val="6D28D9"/>
          <w:sz w:val="28"/>
          <w:szCs w:val="28"/>
          <w:rtl/>
        </w:rPr>
        <w:t>نفحص أنفسنا – أكمل باسم الإشارة المناسب:</w:t>
      </w:r>
    </w:p>
    <w:p>
      <w:pPr>
        <w:bidi/>
        <w:spacing w:before="0" w:after="60"/>
        <w:jc w:val="both"/>
      </w:pPr>
      <w:r>
        <w:rPr>
          <w:rtl/>
        </w:rPr>
        <w:t>أ. __________ الطائرة بعيدة في السماء.</w:t>
      </w:r>
    </w:p>
    <w:p>
      <w:pPr>
        <w:bidi/>
        <w:spacing w:before="0" w:after="60"/>
        <w:jc w:val="both"/>
      </w:pPr>
      <w:r>
        <w:rPr>
          <w:rtl/>
        </w:rPr>
        <w:t>ب. __________ المعلّمون يحضّرون الحفل. (قريبون)</w:t>
      </w:r>
    </w:p>
    <w:p>
      <w:pPr>
        <w:bidi/>
        <w:spacing w:before="0" w:after="60"/>
        <w:jc w:val="both"/>
      </w:pPr>
      <w:r>
        <w:rPr>
          <w:rtl/>
        </w:rPr>
        <w:t>ج. __________ الوردتان حمراوان. (قريبتان)</w:t>
      </w:r>
    </w:p>
    <w:p>
      <w:pPr>
        <w:bidi/>
        <w:spacing w:before="0" w:after="60"/>
        <w:jc w:val="both"/>
      </w:pPr>
      <w:r>
        <w:rPr>
          <w:rtl/>
        </w:rPr>
        <w:t>د. __________ الجبل عالٍ جدًّا. (بعيد)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تلك · ب. هؤلاء · ج. هاتان · د. ذلك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raditional Arabic" w:hAnsi="Traditional Arabic" w:cs="Traditional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