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Tahoma" w:hAnsi="Tahoma" w:cs="Tahoma"/>
          <w:color w:val="5B6476"/>
          <w:sz w:val="20"/>
          <w:szCs w:val="20"/>
          <w:rtl/>
        </w:rPr>
        <w:t>اللغة العربيّة · الصف السادس   |   دليل التصحيح للاختبار</w:t>
      </w:r>
    </w:p>
    <w:p>
      <w:pPr>
        <w:bidi/>
        <w:spacing w:before="0" w:after="120"/>
        <w:jc w:val="both"/>
      </w:pPr>
      <w:r>
        <w:rPr>
          <w:rFonts w:ascii="Traditional Arabic" w:hAnsi="Traditional Arabic" w:cs="Traditional Arabic"/>
          <w:b/>
          <w:bCs/>
          <w:color w:val="9F1239"/>
          <w:sz w:val="44"/>
          <w:szCs w:val="44"/>
          <w:rtl/>
        </w:rPr>
        <w:t>🎯 اختبار ختاميّ – المستوى المتقدّم – دليل التصحيح</w:t>
      </w:r>
    </w:p>
    <w:p>
      <w:pPr>
        <w:bidi/>
        <w:spacing w:before="0" w:after="120"/>
        <w:jc w:val="both"/>
      </w:pPr>
      <w:r>
        <w:rPr>
          <w:color w:val="5B6476"/>
          <w:sz w:val="22"/>
          <w:szCs w:val="22"/>
          <w:rtl/>
        </w:rPr>
        <w:t>مدّة الاختبار: 90 دقيقة · المجموع 100 علامة · اقرأ النصّ بتمعّن، وعلّل إجاباتك حيث يُطلب ذلك.</w:t>
      </w:r>
    </w:p>
    <w:p>
      <w:pPr>
        <w:bidi/>
        <w:spacing w:before="200" w:after="80"/>
        <w:jc w:val="both"/>
      </w:pPr>
      <w:r>
        <w:rPr>
          <w:rFonts w:ascii="Traditional Arabic" w:hAnsi="Traditional Arabic" w:cs="Traditional Arabic"/>
          <w:b/>
          <w:bCs/>
          <w:color w:val="9F1239"/>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القسم</w:t>
            </w:r>
          </w:p>
        </w:tc>
        <w:tc>
          <w:tcPr>
            <w:tcW w:type="dxa" w:w="3326"/>
            <w:shd w:val="clear" w:color="auto" w:fill="9f1239"/>
          </w:tcPr>
          <w:p>
            <w:pPr>
              <w:bidi/>
              <w:spacing w:before="0" w:after="40"/>
              <w:jc w:val="both"/>
            </w:pPr>
            <w:r>
              <w:rPr>
                <w:b/>
                <w:bCs/>
                <w:color w:val="FFFFFF"/>
                <w:rtl/>
              </w:rPr>
              <w:t>العلامة القصوى</w:t>
            </w:r>
          </w:p>
        </w:tc>
        <w:tc>
          <w:tcPr>
            <w:tcW w:type="dxa" w:w="3326"/>
            <w:shd w:val="clear" w:color="auto" w:fill="9f1239"/>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raditional Arabic" w:hAnsi="Traditional Arabic" w:cs="Traditional Arabic"/>
          <w:b/>
          <w:bCs/>
          <w:color w:val="9F1239"/>
          <w:sz w:val="32"/>
          <w:szCs w:val="32"/>
          <w:rtl/>
        </w:rPr>
        <w:t>القسم الأوّل: فهم المقروء (40 علامة)</w:t>
      </w:r>
    </w:p>
    <w:p>
      <w:pPr>
        <w:bidi/>
        <w:spacing w:before="160" w:after="60"/>
        <w:jc w:val="both"/>
      </w:pPr>
      <w:r>
        <w:rPr>
          <w:b/>
          <w:bCs/>
          <w:sz w:val="26"/>
          <w:szCs w:val="26"/>
          <w:rtl/>
        </w:rPr>
        <w:t>1. اختر الإجابة الصحيحة. (4 علامات)</w:t>
      </w:r>
    </w:p>
    <w:p>
      <w:pPr>
        <w:bidi/>
        <w:spacing w:before="0" w:after="20"/>
        <w:jc w:val="both"/>
      </w:pPr>
      <w:r>
        <w:rPr>
          <w:rtl/>
        </w:rPr>
        <w:t>أ. ما القضيّة التي يناقشها النصّ؟</w:t>
      </w:r>
    </w:p>
    <w:p>
      <w:pPr>
        <w:bidi/>
        <w:spacing w:before="0" w:after="80"/>
        <w:jc w:val="both"/>
      </w:pPr>
      <w:r>
        <w:rPr>
          <w:b/>
          <w:bCs/>
          <w:color w:val="0F7A4F"/>
          <w:rtl/>
        </w:rPr>
        <w:t xml:space="preserve">   ✔ المقارنة بين القراءة على الورق والقراءة على الشاشة</w:t>
      </w:r>
    </w:p>
    <w:p>
      <w:pPr>
        <w:bidi/>
        <w:spacing w:before="0" w:after="20"/>
        <w:jc w:val="both"/>
      </w:pPr>
      <w:r>
        <w:rPr>
          <w:rtl/>
        </w:rPr>
        <w:t>ب. ما موقف الكاتب في الخاتمة؟</w:t>
      </w:r>
    </w:p>
    <w:p>
      <w:pPr>
        <w:bidi/>
        <w:spacing w:before="0" w:after="80"/>
        <w:jc w:val="both"/>
      </w:pPr>
      <w:r>
        <w:rPr>
          <w:b/>
          <w:bCs/>
          <w:color w:val="0F7A4F"/>
          <w:rtl/>
        </w:rPr>
        <w:t xml:space="preserve">   ✔ المهمّ هو القراءة، ونجمع بين الوسيلتين حسب الهدف</w:t>
      </w:r>
    </w:p>
    <w:p>
      <w:pPr>
        <w:bidi/>
        <w:spacing w:before="160" w:after="60"/>
        <w:jc w:val="both"/>
      </w:pPr>
      <w:r>
        <w:rPr>
          <w:b/>
          <w:bCs/>
          <w:sz w:val="26"/>
          <w:szCs w:val="26"/>
          <w:rtl/>
        </w:rPr>
        <w:t>2. قارن بين الوسيلتين اعتمادًا على الفقرتين الثانية والثالثة: اكتب حجّتين لكلّ وسيلة. (6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حجج أنصار الشاشة</w:t>
            </w:r>
          </w:p>
        </w:tc>
        <w:tc>
          <w:tcPr>
            <w:tcW w:type="dxa" w:w="4989"/>
            <w:shd w:val="clear" w:color="auto" w:fill="9f1239"/>
          </w:tcPr>
          <w:p>
            <w:pPr>
              <w:bidi/>
              <w:spacing w:before="0" w:after="40"/>
              <w:jc w:val="both"/>
            </w:pPr>
            <w:r>
              <w:rPr>
                <w:b/>
                <w:bCs/>
                <w:color w:val="FFFFFF"/>
                <w:rtl/>
              </w:rPr>
              <w:t>حجج أنصار الورق</w:t>
            </w:r>
          </w:p>
        </w:tc>
      </w:tr>
      <w:tr>
        <w:tc>
          <w:tcPr>
            <w:tcW w:type="dxa" w:w="4989"/>
          </w:tcPr>
          <w:p>
            <w:pPr>
              <w:bidi/>
              <w:spacing w:before="0" w:after="40"/>
              <w:jc w:val="both"/>
            </w:pPr>
            <w:r>
              <w:rPr>
                <w:color w:val="0F7A4F"/>
                <w:rtl/>
              </w:rPr>
              <w:t>الجهاز الواحد يحمل مكتبة كاملة خفيفة الوزن</w:t>
            </w:r>
          </w:p>
        </w:tc>
        <w:tc>
          <w:tcPr>
            <w:tcW w:type="dxa" w:w="4989"/>
          </w:tcPr>
          <w:p>
            <w:pPr>
              <w:bidi/>
              <w:spacing w:before="0" w:after="40"/>
              <w:jc w:val="both"/>
            </w:pPr>
            <w:r>
              <w:rPr>
                <w:color w:val="0F7A4F"/>
                <w:rtl/>
              </w:rPr>
              <w:t>الورق يريح العين أكثر من الشاشة المضيئة</w:t>
            </w:r>
          </w:p>
        </w:tc>
      </w:tr>
      <w:tr>
        <w:tc>
          <w:tcPr>
            <w:tcW w:type="dxa" w:w="4989"/>
          </w:tcPr>
          <w:p>
            <w:pPr>
              <w:bidi/>
              <w:spacing w:before="0" w:after="40"/>
              <w:jc w:val="both"/>
            </w:pPr>
            <w:r>
              <w:rPr>
                <w:color w:val="0F7A4F"/>
                <w:rtl/>
              </w:rPr>
              <w:t>البحث السريع عن معنى الكلمة وتكبير الحروف، وتوفير الورق</w:t>
            </w:r>
          </w:p>
        </w:tc>
        <w:tc>
          <w:tcPr>
            <w:tcW w:type="dxa" w:w="4989"/>
          </w:tcPr>
          <w:p>
            <w:pPr>
              <w:bidi/>
              <w:spacing w:before="0" w:after="40"/>
              <w:jc w:val="both"/>
            </w:pPr>
            <w:r>
              <w:rPr>
                <w:color w:val="0F7A4F"/>
                <w:rtl/>
              </w:rPr>
              <w:t>القارئ يتذكّر تفاصيل النصّ المطبوع أكثر، والشاشة تشتّت الانتباه</w:t>
            </w:r>
          </w:p>
        </w:tc>
      </w:tr>
    </w:tbl>
    <w:p>
      <w:pPr>
        <w:bidi/>
        <w:spacing w:before="0" w:after="40"/>
        <w:jc w:val="both"/>
      </w:pPr>
    </w:p>
    <w:p>
      <w:pPr>
        <w:bidi/>
        <w:spacing w:before="160" w:after="60"/>
        <w:jc w:val="both"/>
      </w:pPr>
      <w:r>
        <w:rPr>
          <w:b/>
          <w:bCs/>
          <w:sz w:val="26"/>
          <w:szCs w:val="26"/>
          <w:rtl/>
        </w:rPr>
        <w:t>3. يقول الكاتب إنّ القارئ «يبني في ذهنه خريطة للكتاب». ماذا يقصد؟ وكيف يفسّر ذلك تفوّق الورق في التذكّر؟ (5 علامات)</w:t>
      </w:r>
    </w:p>
    <w:p>
      <w:pPr>
        <w:bidi/>
        <w:spacing w:before="0" w:after="80"/>
        <w:jc w:val="both"/>
      </w:pPr>
      <w:r>
        <w:rPr>
          <w:color w:val="0F7A4F"/>
          <w:rtl/>
        </w:rPr>
        <w:t>إجابة ممكنة: يقصد أنّ القارئ يربط كلّ فكرة بمكانها في الكتاب (الصفحة، أعلاها أو أسفلها، قرب صورة)، فيسهل عليه استرجاعها. في الشاشة تتحرّك النصوص ولا تثبت في مكان واحد، فتضعف هذه الخريطة.</w:t>
      </w:r>
    </w:p>
    <w:p>
      <w:pPr>
        <w:bidi/>
        <w:spacing w:before="160" w:after="60"/>
        <w:jc w:val="both"/>
      </w:pPr>
      <w:r>
        <w:rPr>
          <w:b/>
          <w:bCs/>
          <w:sz w:val="26"/>
          <w:szCs w:val="26"/>
          <w:rtl/>
        </w:rPr>
        <w:t>4. صِل الكلمة بمعناها في سياق النصّ. (4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العمود أ</w:t>
            </w:r>
          </w:p>
        </w:tc>
        <w:tc>
          <w:tcPr>
            <w:tcW w:type="dxa" w:w="4989"/>
            <w:shd w:val="clear" w:color="auto" w:fill="9f1239"/>
          </w:tcPr>
          <w:p>
            <w:pPr>
              <w:bidi/>
              <w:spacing w:before="0" w:after="40"/>
              <w:jc w:val="both"/>
            </w:pPr>
            <w:r>
              <w:rPr>
                <w:b/>
                <w:bCs/>
                <w:color w:val="FFFFFF"/>
                <w:rtl/>
              </w:rPr>
              <w:t>العمود ب</w:t>
            </w:r>
          </w:p>
        </w:tc>
      </w:tr>
      <w:tr>
        <w:tc>
          <w:tcPr>
            <w:tcW w:type="dxa" w:w="4989"/>
          </w:tcPr>
          <w:p>
            <w:pPr>
              <w:bidi/>
              <w:spacing w:before="0" w:after="40"/>
              <w:jc w:val="both"/>
            </w:pPr>
            <w:r>
              <w:rPr>
                <w:rtl/>
              </w:rPr>
              <w:t>1. يستشهدون</w:t>
            </w:r>
          </w:p>
        </w:tc>
        <w:tc>
          <w:tcPr>
            <w:tcW w:type="dxa" w:w="4989"/>
          </w:tcPr>
          <w:p>
            <w:pPr>
              <w:bidi/>
              <w:spacing w:before="0" w:after="40"/>
              <w:jc w:val="both"/>
            </w:pPr>
            <w:r>
              <w:rPr>
                <w:rtl/>
              </w:rPr>
              <w:t>[1] يذكرون دليلًا يدعم رأيهم</w:t>
            </w:r>
          </w:p>
        </w:tc>
      </w:tr>
      <w:tr>
        <w:tc>
          <w:tcPr>
            <w:tcW w:type="dxa" w:w="4989"/>
          </w:tcPr>
          <w:p>
            <w:pPr>
              <w:bidi/>
              <w:spacing w:before="0" w:after="40"/>
              <w:jc w:val="both"/>
            </w:pPr>
            <w:r>
              <w:rPr>
                <w:rtl/>
              </w:rPr>
              <w:t>2. حميمة</w:t>
            </w:r>
          </w:p>
        </w:tc>
        <w:tc>
          <w:tcPr>
            <w:tcW w:type="dxa" w:w="4989"/>
          </w:tcPr>
          <w:p>
            <w:pPr>
              <w:bidi/>
              <w:spacing w:before="0" w:after="40"/>
              <w:jc w:val="both"/>
            </w:pPr>
            <w:r>
              <w:rPr>
                <w:rtl/>
              </w:rPr>
              <w:t>[3] يفرّق ويُضعف</w:t>
            </w:r>
          </w:p>
        </w:tc>
      </w:tr>
      <w:tr>
        <w:tc>
          <w:tcPr>
            <w:tcW w:type="dxa" w:w="4989"/>
          </w:tcPr>
          <w:p>
            <w:pPr>
              <w:bidi/>
              <w:spacing w:before="0" w:after="40"/>
              <w:jc w:val="both"/>
            </w:pPr>
            <w:r>
              <w:rPr>
                <w:rtl/>
              </w:rPr>
              <w:t>3. يشتّت</w:t>
            </w:r>
          </w:p>
        </w:tc>
        <w:tc>
          <w:tcPr>
            <w:tcW w:type="dxa" w:w="4989"/>
          </w:tcPr>
          <w:p>
            <w:pPr>
              <w:bidi/>
              <w:spacing w:before="0" w:after="40"/>
              <w:jc w:val="both"/>
            </w:pPr>
            <w:r>
              <w:rPr>
                <w:rtl/>
              </w:rPr>
              <w:t>[2] قريبة ودافئة</w:t>
            </w:r>
          </w:p>
        </w:tc>
      </w:tr>
      <w:tr>
        <w:tc>
          <w:tcPr>
            <w:tcW w:type="dxa" w:w="4989"/>
          </w:tcPr>
          <w:p>
            <w:pPr>
              <w:bidi/>
              <w:spacing w:before="0" w:after="40"/>
              <w:jc w:val="both"/>
            </w:pPr>
            <w:r>
              <w:rPr>
                <w:rtl/>
              </w:rPr>
              <w:t>4. لا يُستغنى عنه</w:t>
            </w:r>
          </w:p>
        </w:tc>
        <w:tc>
          <w:tcPr>
            <w:tcW w:type="dxa" w:w="4989"/>
          </w:tcPr>
          <w:p>
            <w:pPr>
              <w:bidi/>
              <w:spacing w:before="0" w:after="40"/>
              <w:jc w:val="both"/>
            </w:pPr>
            <w:r>
              <w:rPr>
                <w:rtl/>
              </w:rPr>
              <w:t>[4] لا يمكن العيش بدونه</w:t>
            </w:r>
          </w:p>
        </w:tc>
      </w:tr>
    </w:tbl>
    <w:p>
      <w:pPr>
        <w:bidi/>
        <w:spacing w:before="0" w:after="40"/>
        <w:jc w:val="both"/>
      </w:pPr>
    </w:p>
    <w:p>
      <w:pPr>
        <w:bidi/>
        <w:spacing w:before="160" w:after="60"/>
        <w:jc w:val="both"/>
      </w:pPr>
      <w:r>
        <w:rPr>
          <w:b/>
          <w:bCs/>
          <w:sz w:val="26"/>
          <w:szCs w:val="26"/>
          <w:rtl/>
        </w:rPr>
        <w:t>5. ما وظيفة الفقرة الخامسة في بناء النصّ؟ (4 علامات)</w:t>
      </w:r>
    </w:p>
    <w:p>
      <w:pPr>
        <w:bidi/>
        <w:spacing w:before="0" w:after="20"/>
        <w:jc w:val="both"/>
      </w:pPr>
      <w:r>
        <w:rPr>
          <w:rtl/>
        </w:rPr>
        <w:t>أ. اختر الإجابة:</w:t>
      </w:r>
    </w:p>
    <w:p>
      <w:pPr>
        <w:bidi/>
        <w:spacing w:before="0" w:after="80"/>
        <w:jc w:val="both"/>
      </w:pPr>
      <w:r>
        <w:rPr>
          <w:b/>
          <w:bCs/>
          <w:color w:val="0F7A4F"/>
          <w:rtl/>
        </w:rPr>
        <w:t xml:space="preserve">   ✔ تنتقل من عرض الموقفين إلى رأي يجمع بينهما</w:t>
      </w:r>
    </w:p>
    <w:p>
      <w:pPr>
        <w:bidi/>
        <w:spacing w:before="160" w:after="60"/>
        <w:jc w:val="both"/>
      </w:pPr>
      <w:r>
        <w:rPr>
          <w:b/>
          <w:bCs/>
          <w:sz w:val="26"/>
          <w:szCs w:val="26"/>
          <w:rtl/>
        </w:rPr>
        <w:t>6. ما الأسلوب الذي استعمله الكاتب في الفقرة الرابعة ليقنع القارئ؟ هل هي حجّة منطقيّة أم عاطفيّة؟ علّل بمثال من الفقرة. (5 علامات)</w:t>
      </w:r>
    </w:p>
    <w:p>
      <w:pPr>
        <w:bidi/>
        <w:spacing w:before="0" w:after="80"/>
        <w:jc w:val="both"/>
      </w:pPr>
      <w:r>
        <w:rPr>
          <w:color w:val="0F7A4F"/>
          <w:rtl/>
        </w:rPr>
        <w:t>إجابة ممكنة: حجّة عاطفيّة، لأنّ الكاتب يخاطب مشاعر القارئ وذكرياته: رائحة الورق وصوت الصفحة والكتاب الذي يهديه الجدّ إلى حفيده بخطّ يده، ولا يقدّم أرقامًا أو دراسات.</w:t>
      </w:r>
    </w:p>
    <w:p>
      <w:pPr>
        <w:bidi/>
        <w:spacing w:before="160" w:after="60"/>
        <w:jc w:val="both"/>
      </w:pPr>
      <w:r>
        <w:rPr>
          <w:b/>
          <w:bCs/>
          <w:sz w:val="26"/>
          <w:szCs w:val="26"/>
          <w:rtl/>
        </w:rPr>
        <w:t>7. اختار الكاتب أن يعرض حجج الطرفين قبل أن يذكر رأيه. ما فائدة ذلك؟ وهل توافقه على النتيجة التي وصل إليها؟ علّل. (6 علامات)</w:t>
      </w:r>
    </w:p>
    <w:p>
      <w:pPr>
        <w:bidi/>
        <w:spacing w:before="0" w:after="80"/>
        <w:jc w:val="both"/>
      </w:pPr>
      <w:r>
        <w:rPr>
          <w:color w:val="0F7A4F"/>
          <w:rtl/>
        </w:rPr>
        <w:t>إجابة ممكنة: عرض الطرفين يُظهر الكاتب منصفًا وموضوعيًّا، فيثق القارئ برأيه أكثر. إجابة شخصيّة معلّلة، مثال: أوافقه لأنّ لكلّ وسيلة مزايا، ومن الحكمة أن نختار الوسيلة حسب الهدف.</w:t>
      </w:r>
    </w:p>
    <w:p>
      <w:pPr>
        <w:bidi/>
        <w:spacing w:before="160" w:after="60"/>
        <w:jc w:val="both"/>
      </w:pPr>
      <w:r>
        <w:rPr>
          <w:b/>
          <w:bCs/>
          <w:sz w:val="26"/>
          <w:szCs w:val="26"/>
          <w:rtl/>
        </w:rPr>
        <w:t>8. اقترح عنوانًا آخر للنصّ يعبّر عن موقف الكاتب النهائيّ، وعلّل اختيارك. (6 علامات)</w:t>
      </w:r>
    </w:p>
    <w:p>
      <w:pPr>
        <w:bidi/>
        <w:spacing w:before="0" w:after="80"/>
        <w:jc w:val="both"/>
      </w:pPr>
      <w:r>
        <w:rPr>
          <w:color w:val="0F7A4F"/>
          <w:rtl/>
        </w:rPr>
        <w:t>إجابة ممكنة: «المهمّ أن نقرأ»، لأنّ الكاتب انتهى إلى أنّ القيمة في القراءة نفسها لا في الوسيلة.</w:t>
      </w:r>
    </w:p>
    <w:p>
      <w:pPr>
        <w:bidi/>
        <w:spacing w:before="160" w:after="80"/>
        <w:jc w:val="both"/>
      </w:pPr>
      <w:r>
        <w:rPr>
          <w:rFonts w:ascii="Traditional Arabic" w:hAnsi="Traditional Arabic" w:cs="Traditional Arabic"/>
          <w:b/>
          <w:bCs/>
          <w:color w:val="9F1239"/>
          <w:sz w:val="32"/>
          <w:szCs w:val="32"/>
          <w:rtl/>
        </w:rPr>
        <w:t>القسم الثاني: المعرفة اللغويّة (30 علامة)</w:t>
      </w:r>
    </w:p>
    <w:p>
      <w:pPr>
        <w:bidi/>
        <w:spacing w:before="160" w:after="60"/>
        <w:jc w:val="both"/>
      </w:pPr>
      <w:r>
        <w:rPr>
          <w:b/>
          <w:bCs/>
          <w:sz w:val="26"/>
          <w:szCs w:val="26"/>
          <w:rtl/>
        </w:rPr>
        <w:t>1. اكتب الكلمة الناقصة بالحركة الصحيحة. (6 علامات)</w:t>
      </w:r>
    </w:p>
    <w:p>
      <w:pPr>
        <w:bidi/>
        <w:spacing w:before="0" w:after="40"/>
        <w:jc w:val="both"/>
      </w:pPr>
      <w:r>
        <w:rPr>
          <w:rtl/>
        </w:rPr>
        <w:t>أ. الكتابُ صديقٌ. (ما زال) ما زال الكتابُ صديقًا.</w:t>
      </w:r>
    </w:p>
    <w:p>
      <w:pPr>
        <w:bidi/>
        <w:spacing w:before="0" w:after="40"/>
        <w:jc w:val="both"/>
      </w:pPr>
      <w:r>
        <w:rPr>
          <w:rtl/>
        </w:rPr>
        <w:t>ب. القرّاءُ مستفيدون. (إنّ) إنّ القرّاءَ مستفيدون.</w:t>
      </w:r>
    </w:p>
    <w:p>
      <w:pPr>
        <w:bidi/>
        <w:spacing w:before="0" w:after="40"/>
        <w:jc w:val="both"/>
      </w:pPr>
      <w:r>
        <w:rPr>
          <w:rtl/>
        </w:rPr>
        <w:t>ج. الأجهزةُ حديثةٌ. (ليت) ليت الأجهزةَ رخيصةٌ.</w:t>
      </w:r>
    </w:p>
    <w:p>
      <w:pPr>
        <w:bidi/>
        <w:spacing w:before="0" w:after="40"/>
        <w:jc w:val="both"/>
      </w:pPr>
      <w:r>
        <w:rPr>
          <w:rtl/>
        </w:rPr>
        <w:t>د. الطالبتان قارئتان. (أصبح) أصبحت الطالبتان قارئتين.</w:t>
      </w:r>
    </w:p>
    <w:p>
      <w:pPr>
        <w:bidi/>
        <w:spacing w:before="160" w:after="60"/>
        <w:jc w:val="both"/>
      </w:pPr>
      <w:r>
        <w:rPr>
          <w:b/>
          <w:bCs/>
          <w:sz w:val="26"/>
          <w:szCs w:val="26"/>
          <w:rtl/>
        </w:rPr>
        <w:t>2. أعرب الجملة: «إنّ القراءةَ اليوميّةَ مفيدةٌ». (6 علامات)</w:t>
      </w:r>
    </w:p>
    <w:p>
      <w:pPr>
        <w:bidi/>
        <w:spacing w:before="0" w:after="80"/>
        <w:jc w:val="both"/>
      </w:pPr>
      <w:r>
        <w:rPr>
          <w:color w:val="0F7A4F"/>
          <w:rtl/>
        </w:rPr>
        <w:t>إجابة ممكنة: إنّ: حرف توكيد ونصب. القراءةَ: اسم إنّ منصوب وعلامة نصبه الفتحة. اليوميّةَ: نعت منصوب وعلامة نصبه الفتحة. مفيدةٌ: خبر إنّ مرفوع وعلامة رفعه الضمّة.</w:t>
      </w:r>
    </w:p>
    <w:p>
      <w:pPr>
        <w:bidi/>
        <w:spacing w:before="160" w:after="60"/>
        <w:jc w:val="both"/>
      </w:pPr>
      <w:r>
        <w:rPr>
          <w:b/>
          <w:bCs/>
          <w:sz w:val="26"/>
          <w:szCs w:val="26"/>
          <w:rtl/>
        </w:rPr>
        <w:t>3. عيّن النعت في كلّ جملة، واذكر نوعه (مفرد، جملة، شبه جملة). (4 علامات)</w:t>
      </w:r>
    </w:p>
    <w:p>
      <w:pPr>
        <w:bidi/>
        <w:spacing w:before="0" w:after="100"/>
        <w:jc w:val="both"/>
      </w:pPr>
      <w:r>
        <w:rPr>
          <w:rtl/>
        </w:rPr>
        <w:t>أ. قرأتُ كتابًا يحكي عن البحار.  ← يحكي عن البحار – جملة</w:t>
      </w:r>
    </w:p>
    <w:p>
      <w:pPr>
        <w:bidi/>
        <w:spacing w:before="0" w:after="100"/>
        <w:jc w:val="both"/>
      </w:pPr>
      <w:r>
        <w:rPr>
          <w:rtl/>
        </w:rPr>
        <w:t>ب. تلمع على الشاشة المضيئة رسالةٌ.  ← المضيئة – مفرد</w:t>
      </w:r>
    </w:p>
    <w:p>
      <w:pPr>
        <w:bidi/>
        <w:spacing w:before="0" w:after="100"/>
        <w:jc w:val="both"/>
      </w:pPr>
      <w:r>
        <w:rPr>
          <w:rtl/>
        </w:rPr>
        <w:t>ج. وجدتُ صورةً في أعلى الصفحة.  ← في أعلى الصفحة – شبه جملة</w:t>
      </w:r>
    </w:p>
    <w:p>
      <w:pPr>
        <w:bidi/>
        <w:spacing w:before="0" w:after="100"/>
        <w:jc w:val="both"/>
      </w:pPr>
      <w:r>
        <w:rPr>
          <w:rtl/>
        </w:rPr>
        <w:t>د. أهدى الجدُّ حفيده كتابًا قديمًا.  ← قديمًا – مفرد</w:t>
      </w:r>
    </w:p>
    <w:p>
      <w:pPr>
        <w:bidi/>
        <w:spacing w:before="160" w:after="60"/>
        <w:jc w:val="both"/>
      </w:pPr>
      <w:r>
        <w:rPr>
          <w:b/>
          <w:bCs/>
          <w:sz w:val="26"/>
          <w:szCs w:val="26"/>
          <w:rtl/>
        </w:rPr>
        <w:t>4. اكتب الجذر والوزن.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الكلمة</w:t>
            </w:r>
          </w:p>
        </w:tc>
        <w:tc>
          <w:tcPr>
            <w:tcW w:type="dxa" w:w="3326"/>
            <w:shd w:val="clear" w:color="auto" w:fill="9f1239"/>
          </w:tcPr>
          <w:p>
            <w:pPr>
              <w:bidi/>
              <w:spacing w:before="0" w:after="40"/>
              <w:jc w:val="both"/>
            </w:pPr>
            <w:r>
              <w:rPr>
                <w:b/>
                <w:bCs/>
                <w:color w:val="FFFFFF"/>
                <w:rtl/>
              </w:rPr>
              <w:t>الجذر</w:t>
            </w:r>
          </w:p>
        </w:tc>
        <w:tc>
          <w:tcPr>
            <w:tcW w:type="dxa" w:w="3326"/>
            <w:shd w:val="clear" w:color="auto" w:fill="9f1239"/>
          </w:tcPr>
          <w:p>
            <w:pPr>
              <w:bidi/>
              <w:spacing w:before="0" w:after="40"/>
              <w:jc w:val="both"/>
            </w:pPr>
            <w:r>
              <w:rPr>
                <w:b/>
                <w:bCs/>
                <w:color w:val="FFFFFF"/>
                <w:rtl/>
              </w:rPr>
              <w:t>الوزن</w:t>
            </w:r>
          </w:p>
        </w:tc>
      </w:tr>
      <w:tr>
        <w:tc>
          <w:tcPr>
            <w:tcW w:type="dxa" w:w="3326"/>
          </w:tcPr>
          <w:p>
            <w:pPr>
              <w:bidi/>
              <w:spacing w:before="0" w:after="40"/>
              <w:jc w:val="both"/>
            </w:pPr>
            <w:r>
              <w:rPr>
                <w:rtl/>
              </w:rPr>
              <w:t>يشتّت (الماضي: شتّت)</w:t>
            </w:r>
          </w:p>
        </w:tc>
        <w:tc>
          <w:tcPr>
            <w:tcW w:type="dxa" w:w="3326"/>
          </w:tcPr>
          <w:p>
            <w:pPr>
              <w:bidi/>
              <w:spacing w:before="0" w:after="40"/>
              <w:jc w:val="both"/>
            </w:pPr>
            <w:r>
              <w:rPr>
                <w:color w:val="0F7A4F"/>
                <w:rtl/>
              </w:rPr>
              <w:t>ش ت ت</w:t>
            </w:r>
          </w:p>
        </w:tc>
        <w:tc>
          <w:tcPr>
            <w:tcW w:type="dxa" w:w="3326"/>
          </w:tcPr>
          <w:p>
            <w:pPr>
              <w:bidi/>
              <w:spacing w:before="0" w:after="40"/>
              <w:jc w:val="both"/>
            </w:pPr>
            <w:r>
              <w:rPr>
                <w:color w:val="0F7A4F"/>
                <w:rtl/>
              </w:rPr>
              <w:t>فَعَّلَ</w:t>
            </w:r>
          </w:p>
        </w:tc>
      </w:tr>
      <w:tr>
        <w:tc>
          <w:tcPr>
            <w:tcW w:type="dxa" w:w="3326"/>
          </w:tcPr>
          <w:p>
            <w:pPr>
              <w:bidi/>
              <w:spacing w:before="0" w:after="40"/>
              <w:jc w:val="both"/>
            </w:pPr>
            <w:r>
              <w:rPr>
                <w:rtl/>
              </w:rPr>
              <w:t>مَكتَبة</w:t>
            </w:r>
          </w:p>
        </w:tc>
        <w:tc>
          <w:tcPr>
            <w:tcW w:type="dxa" w:w="3326"/>
          </w:tcPr>
          <w:p>
            <w:pPr>
              <w:bidi/>
              <w:spacing w:before="0" w:after="40"/>
              <w:jc w:val="both"/>
            </w:pPr>
            <w:r>
              <w:rPr>
                <w:color w:val="0F7A4F"/>
                <w:rtl/>
              </w:rPr>
              <w:t>ك ت ب</w:t>
            </w:r>
          </w:p>
        </w:tc>
        <w:tc>
          <w:tcPr>
            <w:tcW w:type="dxa" w:w="3326"/>
          </w:tcPr>
          <w:p>
            <w:pPr>
              <w:bidi/>
              <w:spacing w:before="0" w:after="40"/>
              <w:jc w:val="both"/>
            </w:pPr>
            <w:r>
              <w:rPr>
                <w:color w:val="0F7A4F"/>
                <w:rtl/>
              </w:rPr>
              <w:t>مَفعَلة</w:t>
            </w:r>
          </w:p>
        </w:tc>
      </w:tr>
      <w:tr>
        <w:tc>
          <w:tcPr>
            <w:tcW w:type="dxa" w:w="3326"/>
          </w:tcPr>
          <w:p>
            <w:pPr>
              <w:bidi/>
              <w:spacing w:before="0" w:after="40"/>
              <w:jc w:val="both"/>
            </w:pPr>
            <w:r>
              <w:rPr>
                <w:rtl/>
              </w:rPr>
              <w:t>استَشهَدَ</w:t>
            </w:r>
          </w:p>
        </w:tc>
        <w:tc>
          <w:tcPr>
            <w:tcW w:type="dxa" w:w="3326"/>
          </w:tcPr>
          <w:p>
            <w:pPr>
              <w:bidi/>
              <w:spacing w:before="0" w:after="40"/>
              <w:jc w:val="both"/>
            </w:pPr>
            <w:r>
              <w:rPr>
                <w:color w:val="0F7A4F"/>
                <w:rtl/>
              </w:rPr>
              <w:t>ش ه د</w:t>
            </w:r>
          </w:p>
        </w:tc>
        <w:tc>
          <w:tcPr>
            <w:tcW w:type="dxa" w:w="3326"/>
          </w:tcPr>
          <w:p>
            <w:pPr>
              <w:bidi/>
              <w:spacing w:before="0" w:after="40"/>
              <w:jc w:val="both"/>
            </w:pPr>
            <w:r>
              <w:rPr>
                <w:color w:val="0F7A4F"/>
                <w:rtl/>
              </w:rPr>
              <w:t>استَفعَلَ</w:t>
            </w:r>
          </w:p>
        </w:tc>
      </w:tr>
      <w:tr>
        <w:tc>
          <w:tcPr>
            <w:tcW w:type="dxa" w:w="3326"/>
          </w:tcPr>
          <w:p>
            <w:pPr>
              <w:bidi/>
              <w:spacing w:before="0" w:after="40"/>
              <w:jc w:val="both"/>
            </w:pPr>
            <w:r>
              <w:rPr>
                <w:rtl/>
              </w:rPr>
              <w:t>مُتحمِّس</w:t>
            </w:r>
          </w:p>
        </w:tc>
        <w:tc>
          <w:tcPr>
            <w:tcW w:type="dxa" w:w="3326"/>
          </w:tcPr>
          <w:p>
            <w:pPr>
              <w:bidi/>
              <w:spacing w:before="0" w:after="40"/>
              <w:jc w:val="both"/>
            </w:pPr>
            <w:r>
              <w:rPr>
                <w:color w:val="0F7A4F"/>
                <w:rtl/>
              </w:rPr>
              <w:t>ح م س</w:t>
            </w:r>
          </w:p>
        </w:tc>
        <w:tc>
          <w:tcPr>
            <w:tcW w:type="dxa" w:w="3326"/>
          </w:tcPr>
          <w:p>
            <w:pPr>
              <w:bidi/>
              <w:spacing w:before="0" w:after="40"/>
              <w:jc w:val="both"/>
            </w:pPr>
            <w:r>
              <w:rPr>
                <w:color w:val="0F7A4F"/>
                <w:rtl/>
              </w:rPr>
              <w:t>مُتَفَعِّل</w:t>
            </w:r>
          </w:p>
        </w:tc>
      </w:tr>
    </w:tbl>
    <w:p>
      <w:pPr>
        <w:bidi/>
        <w:spacing w:before="0" w:after="40"/>
        <w:jc w:val="both"/>
      </w:pPr>
    </w:p>
    <w:p>
      <w:pPr>
        <w:bidi/>
        <w:spacing w:before="160" w:after="60"/>
        <w:jc w:val="both"/>
      </w:pPr>
      <w:r>
        <w:rPr>
          <w:b/>
          <w:bCs/>
          <w:sz w:val="26"/>
          <w:szCs w:val="26"/>
          <w:rtl/>
        </w:rPr>
        <w:t>5. علّل كتابة الهمزة في الكلمات المأخوذة من النصّ. (4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الكلمة</w:t>
            </w:r>
          </w:p>
        </w:tc>
        <w:tc>
          <w:tcPr>
            <w:tcW w:type="dxa" w:w="4989"/>
            <w:shd w:val="clear" w:color="auto" w:fill="9f1239"/>
          </w:tcPr>
          <w:p>
            <w:pPr>
              <w:bidi/>
              <w:spacing w:before="0" w:after="40"/>
              <w:jc w:val="both"/>
            </w:pPr>
            <w:r>
              <w:rPr>
                <w:b/>
                <w:bCs/>
                <w:color w:val="FFFFFF"/>
                <w:rtl/>
              </w:rPr>
              <w:t>التعليل</w:t>
            </w:r>
          </w:p>
        </w:tc>
      </w:tr>
      <w:tr>
        <w:tc>
          <w:tcPr>
            <w:tcW w:type="dxa" w:w="4989"/>
          </w:tcPr>
          <w:p>
            <w:pPr>
              <w:bidi/>
              <w:spacing w:before="0" w:after="40"/>
              <w:jc w:val="both"/>
            </w:pPr>
            <w:r>
              <w:rPr>
                <w:rtl/>
              </w:rPr>
              <w:t>تساءل</w:t>
            </w:r>
          </w:p>
        </w:tc>
        <w:tc>
          <w:tcPr>
            <w:tcW w:type="dxa" w:w="4989"/>
          </w:tcPr>
          <w:p>
            <w:pPr>
              <w:bidi/>
              <w:spacing w:before="0" w:after="40"/>
              <w:jc w:val="both"/>
            </w:pPr>
            <w:r>
              <w:rPr>
                <w:color w:val="0F7A4F"/>
                <w:rtl/>
              </w:rPr>
              <w:t>همزة متوسّطة مفتوحة بعد ألف ساكنة: على السطر</w:t>
            </w:r>
          </w:p>
        </w:tc>
      </w:tr>
      <w:tr>
        <w:tc>
          <w:tcPr>
            <w:tcW w:type="dxa" w:w="4989"/>
          </w:tcPr>
          <w:p>
            <w:pPr>
              <w:bidi/>
              <w:spacing w:before="0" w:after="40"/>
              <w:jc w:val="both"/>
            </w:pPr>
            <w:r>
              <w:rPr>
                <w:rtl/>
              </w:rPr>
              <w:t>يُؤخّر</w:t>
            </w:r>
          </w:p>
        </w:tc>
        <w:tc>
          <w:tcPr>
            <w:tcW w:type="dxa" w:w="4989"/>
          </w:tcPr>
          <w:p>
            <w:pPr>
              <w:bidi/>
              <w:spacing w:before="0" w:after="40"/>
              <w:jc w:val="both"/>
            </w:pPr>
            <w:r>
              <w:rPr>
                <w:color w:val="0F7A4F"/>
                <w:rtl/>
              </w:rPr>
              <w:t>همزة متوسّطة ساكنة بعد ضمّة: على واو</w:t>
            </w:r>
          </w:p>
        </w:tc>
      </w:tr>
      <w:tr>
        <w:tc>
          <w:tcPr>
            <w:tcW w:type="dxa" w:w="4989"/>
          </w:tcPr>
          <w:p>
            <w:pPr>
              <w:bidi/>
              <w:spacing w:before="0" w:after="40"/>
              <w:jc w:val="both"/>
            </w:pPr>
            <w:r>
              <w:rPr>
                <w:rtl/>
              </w:rPr>
              <w:t>القرّاء</w:t>
            </w:r>
          </w:p>
        </w:tc>
        <w:tc>
          <w:tcPr>
            <w:tcW w:type="dxa" w:w="4989"/>
          </w:tcPr>
          <w:p>
            <w:pPr>
              <w:bidi/>
              <w:spacing w:before="0" w:after="40"/>
              <w:jc w:val="both"/>
            </w:pPr>
            <w:r>
              <w:rPr>
                <w:color w:val="0F7A4F"/>
                <w:rtl/>
              </w:rPr>
              <w:t>همزة متطرّفة بعد ألف ساكنة: على السطر</w:t>
            </w:r>
          </w:p>
        </w:tc>
      </w:tr>
      <w:tr>
        <w:tc>
          <w:tcPr>
            <w:tcW w:type="dxa" w:w="4989"/>
          </w:tcPr>
          <w:p>
            <w:pPr>
              <w:bidi/>
              <w:spacing w:before="0" w:after="40"/>
              <w:jc w:val="both"/>
            </w:pPr>
            <w:r>
              <w:rPr>
                <w:rtl/>
              </w:rPr>
              <w:t>نقرأ</w:t>
            </w:r>
          </w:p>
        </w:tc>
        <w:tc>
          <w:tcPr>
            <w:tcW w:type="dxa" w:w="4989"/>
          </w:tcPr>
          <w:p>
            <w:pPr>
              <w:bidi/>
              <w:spacing w:before="0" w:after="40"/>
              <w:jc w:val="both"/>
            </w:pPr>
            <w:r>
              <w:rPr>
                <w:color w:val="0F7A4F"/>
                <w:rtl/>
              </w:rPr>
              <w:t>همزة متطرّفة بعد فتحة: على ألف</w:t>
            </w:r>
          </w:p>
        </w:tc>
      </w:tr>
    </w:tbl>
    <w:p>
      <w:pPr>
        <w:bidi/>
        <w:spacing w:before="0" w:after="40"/>
        <w:jc w:val="both"/>
      </w:pPr>
    </w:p>
    <w:p>
      <w:pPr>
        <w:bidi/>
        <w:spacing w:before="160" w:after="60"/>
        <w:jc w:val="both"/>
      </w:pPr>
      <w:r>
        <w:rPr>
          <w:b/>
          <w:bCs/>
          <w:sz w:val="26"/>
          <w:szCs w:val="26"/>
          <w:rtl/>
        </w:rPr>
        <w:t>6. صواب أم خطأ؟ صحّح الخطأ. (4 علامات)</w:t>
      </w:r>
    </w:p>
    <w:p>
      <w:pPr>
        <w:bidi/>
        <w:spacing w:before="0" w:after="40"/>
        <w:jc w:val="both"/>
      </w:pPr>
      <w:r>
        <w:rPr>
          <w:rtl/>
        </w:rPr>
        <w:t>أ. في «كان الكتاب الورقيّ رفيقَ الطالب» كلمة «رفيقَ» خبر كان. – صحيح</w:t>
      </w:r>
    </w:p>
    <w:p>
      <w:pPr>
        <w:bidi/>
        <w:spacing w:before="0" w:after="40"/>
        <w:jc w:val="both"/>
      </w:pPr>
      <w:r>
        <w:rPr>
          <w:rtl/>
        </w:rPr>
        <w:t>ب. «لكنّ» تدلّ على التمنّي. – خطأ – تدلّ على الاستدراك</w:t>
      </w:r>
    </w:p>
    <w:p>
      <w:pPr>
        <w:bidi/>
        <w:spacing w:before="0" w:after="40"/>
        <w:jc w:val="both"/>
      </w:pPr>
      <w:r>
        <w:rPr>
          <w:rtl/>
        </w:rPr>
        <w:t>ج. في «شاشة باردة» النعت مطابق للمنعوت في التنكير والتأنيث. – صحيح</w:t>
      </w:r>
    </w:p>
    <w:p>
      <w:pPr>
        <w:bidi/>
        <w:spacing w:before="0" w:after="40"/>
        <w:jc w:val="both"/>
      </w:pPr>
      <w:r>
        <w:rPr>
          <w:rtl/>
        </w:rPr>
        <w:t>د. وزن «مَعروض» هو مُفعَل. – خطأ – وزنه مَفعول</w:t>
      </w:r>
    </w:p>
    <w:p>
      <w:pPr>
        <w:bidi/>
        <w:spacing w:before="160" w:after="80"/>
        <w:jc w:val="both"/>
      </w:pPr>
      <w:r>
        <w:rPr>
          <w:rFonts w:ascii="Traditional Arabic" w:hAnsi="Traditional Arabic" w:cs="Traditional Arabic"/>
          <w:b/>
          <w:bCs/>
          <w:color w:val="9F1239"/>
          <w:sz w:val="32"/>
          <w:szCs w:val="32"/>
          <w:rtl/>
        </w:rPr>
        <w:t>القسم الثالث: التعبير الكتابيّ (30 علامة)</w:t>
      </w:r>
    </w:p>
    <w:p>
      <w:pPr>
        <w:bidi/>
        <w:spacing w:before="160" w:after="60"/>
        <w:jc w:val="both"/>
      </w:pPr>
      <w:r>
        <w:rPr>
          <w:b/>
          <w:bCs/>
          <w:sz w:val="26"/>
          <w:szCs w:val="26"/>
          <w:rtl/>
        </w:rPr>
        <w:t>1. اكتب مقالة رأي (15 سطرًا تقريبًا) في القضيّة: «هل يجب أن يُسمح للطلّاب بإحضار الهواتف الذكيّة إلى المدرسة؟». معايير التقييم: مقدّمة جذّابة تعرض القضيّة وموقفك؛ ثلاث حجج من أنواع مختلفة (مثال، إحصائيّة أو رأي خبير، مقارنة)؛ عرض الرأي المعارض والردّ عليه ردًّا مقنعًا؛ خاتمة تؤكّد الموقف وتقدّم اقتراحًا عمليًّا؛ تنظيم في فقرات وأدوات ربط متنوّعة؛ لغة فصيحة سليمة، واستعمال جملة فيها «كان» أو إحدى أخواتها وجملة فيها «إنّ» أو إحدى أخواتها؛ إملاء صحيح وعلامات ترقيم. (30 علامة)</w:t>
      </w:r>
    </w:p>
    <w:p>
      <w:pPr>
        <w:bidi/>
        <w:spacing w:before="0" w:after="80"/>
        <w:jc w:val="both"/>
      </w:pPr>
      <w:r>
        <w:rPr>
          <w:color w:val="0F7A4F"/>
          <w:rtl/>
        </w:rPr>
        <w:t>إجابة ممكنة: مثال مختصر: صار الهاتف الذكيّ رفيق الصغار والكبار، وأرى أنّ إحضاره إلى المدرسة يجب أن يكون بشروط واضحة. أوّلًا، إنّ الهاتف يشتّت الانتباه في الحصّة... ثانيًا، يقول المرشدون إنّ الاستراحة بلا هاتف تقوّي العلاقات بين الطلّاب... ومن ناحية أخرى، قد يقول بعض الأهالي إنّهم يحتاجون إلى الاتّصال بأبنائهم، ولكنّ هاتف المدرسة متاح دائمًا... وخلاصة القول... لذلك أقترح أن تُحفظ الهواتف في خزانة حتّى نهاية الدوام. — سلّم التقييم: المقدّمة والأطروحة (4)؛ الحجج وتنوّعها (9)؛ الردّ على المعارض (5)؛ الخاتمة والاقتراح (3)؛ التنظيم وأدوات الربط (3)؛ اللغة والقواعد المطلوبة والإملاء والترقيم (6).</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