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Traditional Arabic" w:hAnsi="Traditional Arabic" w:cs="Traditional Arabic"/>
          <w:b/>
          <w:bCs/>
          <w:color w:val="9F1239"/>
          <w:sz w:val="44"/>
          <w:szCs w:val="44"/>
          <w:rtl/>
        </w:rPr>
        <w:t>إنّ وأخواتها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9F1239"/>
          <w:sz w:val="24"/>
          <w:szCs w:val="24"/>
          <w:rtl/>
        </w:rPr>
        <w:t>ورقة تلخيص: إنّ وأخواتها – عملها ومعانيها وعلامات الإعراب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عمل إنّ وأخواتها</w:t>
      </w:r>
    </w:p>
    <w:p>
      <w:pPr>
        <w:bidi/>
        <w:spacing w:before="0" w:after="40"/>
        <w:jc w:val="both"/>
      </w:pPr>
      <w:r>
        <w:rPr>
          <w:rtl/>
        </w:rPr>
        <w:t>تدخل على المبتدأ والخبر: تنصب الأوّل ويسمّى اسمها، وترفع الثاني ويسمّى خبرها.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الحديقةُ جميلةٌ. · إنّ الحديقةَ جميلةٌ.</w:t>
      </w: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الأخوات ومعانيها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الحرف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معناه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/ أنّ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التوكيد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الرياضةَ مفيدةٌ.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كأنّ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التشبيه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كأنّ الثلجَ قطنٌ.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لكنّ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الاستدراك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البيتُ صغيرٌ لكنّه مرتّبٌ.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التمنّي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ليت الربيعَ دائمٌ.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الترجّي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لعلّ المطرَ قريبٌ.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كان أم إنّ؟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الاسم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الخبر</w:t>
            </w:r>
          </w:p>
        </w:tc>
        <w:tc>
          <w:tcPr>
            <w:tcW w:type="dxa" w:w="2494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وأخواتها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مرفوع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منصوب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كان الطقسُ جميلًا.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وأخواتها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منصوب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مرفوع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إنّ الطقسَ جميلٌ.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◆ علامات نصب اسم إنّ</w:t>
      </w:r>
    </w:p>
    <w:p>
      <w:pPr>
        <w:bidi/>
        <w:spacing w:before="0" w:after="20"/>
        <w:jc w:val="both"/>
      </w:pPr>
      <w:r>
        <w:rPr>
          <w:rtl/>
        </w:rPr>
        <w:t>1. المفرد وجمع التكسير: الفتحة (إنّ الأطفالَ سعداءُ).</w:t>
      </w:r>
    </w:p>
    <w:p>
      <w:pPr>
        <w:bidi/>
        <w:spacing w:before="0" w:after="20"/>
        <w:jc w:val="both"/>
      </w:pPr>
      <w:r>
        <w:rPr>
          <w:rtl/>
        </w:rPr>
        <w:t>2. المثنّى وجمع المذكّر السالم: الياء (إنّ الطبيبَيْن ماهران، إنّ المعلّمين مخلصون).</w:t>
      </w:r>
    </w:p>
    <w:p>
      <w:pPr>
        <w:bidi/>
        <w:spacing w:before="0" w:after="20"/>
        <w:jc w:val="both"/>
      </w:pPr>
      <w:r>
        <w:rPr>
          <w:rtl/>
        </w:rPr>
        <w:t>3. جمع المؤنّث السالم: الكسرة (إنّ الممرّضاتِ نشيطاتٌ).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تذكّر القاعدة القصيرة: كان ترفع الاسم وتنصب الخبر، وإنّ تنصب الاسم وترفع الخبر.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أدخل «لعلّ» على الجملة «المسافرون عائدون»: ___</w:t>
      </w:r>
    </w:p>
    <w:p>
      <w:pPr>
        <w:bidi/>
        <w:spacing w:before="0" w:after="20"/>
        <w:jc w:val="both"/>
      </w:pPr>
      <w:r>
        <w:rPr>
          <w:rtl/>
        </w:rPr>
        <w:t>1. «المسافرون» جمع مذكّر سالم، يصير اسم لعلّ منصوبًا بالياء: المسافرين.</w:t>
      </w:r>
    </w:p>
    <w:p>
      <w:pPr>
        <w:bidi/>
        <w:spacing w:before="0" w:after="20"/>
        <w:jc w:val="both"/>
      </w:pPr>
      <w:r>
        <w:rPr>
          <w:rtl/>
        </w:rPr>
        <w:t>2. الخبر «عائدون» يبقى مرفوعًا بالواو.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لعلّ المسافرين عائدون.</w:t>
      </w:r>
    </w:p>
    <w:p>
      <w:pPr>
        <w:bidi/>
        <w:spacing w:before="120" w:after="80"/>
        <w:jc w:val="both"/>
      </w:pPr>
      <w:r>
        <w:rPr>
          <w:rFonts w:ascii="Traditional Arabic" w:hAnsi="Traditional Arabic" w:cs="Traditional Arabic"/>
          <w:b/>
          <w:bCs/>
          <w:color w:val="9F1239"/>
          <w:sz w:val="28"/>
          <w:szCs w:val="28"/>
          <w:rtl/>
        </w:rPr>
        <w:t>نفحص أنفسنا – أكمل:</w:t>
      </w:r>
    </w:p>
    <w:p>
      <w:pPr>
        <w:bidi/>
        <w:spacing w:before="0" w:after="60"/>
        <w:jc w:val="both"/>
      </w:pPr>
      <w:r>
        <w:rPr>
          <w:rtl/>
        </w:rPr>
        <w:t>أ. «كأنّ النجومَ مصابيحُ»: الحرف الناسخ يدلّ على __________.</w:t>
      </w:r>
    </w:p>
    <w:p>
      <w:pPr>
        <w:bidi/>
        <w:spacing w:before="0" w:after="60"/>
        <w:jc w:val="both"/>
      </w:pPr>
      <w:r>
        <w:rPr>
          <w:rtl/>
        </w:rPr>
        <w:t>ب. «إنّ المعلّماتِ مخلصاتٌ»: اسم إنّ منصوب وعلامة نصبه __________.</w:t>
      </w:r>
    </w:p>
    <w:p>
      <w:pPr>
        <w:bidi/>
        <w:spacing w:before="0" w:after="60"/>
        <w:jc w:val="both"/>
      </w:pPr>
      <w:r>
        <w:rPr>
          <w:rtl/>
        </w:rPr>
        <w:t>ج. «ليت الشبابَ يعودُ»: خبر ليت جملة __________.</w:t>
      </w:r>
    </w:p>
    <w:p>
      <w:pPr>
        <w:bidi/>
        <w:spacing w:before="0" w:after="60"/>
        <w:jc w:val="both"/>
      </w:pPr>
      <w:r>
        <w:rPr>
          <w:rtl/>
        </w:rPr>
        <w:t>د. «لكنّ» تدلّ على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التشبيه · ب. الكسرة · ج. فعليّة · د. الاستدراك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