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הרשות המבצעת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ציינו והציגו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>ציון בלבד לא מספיק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יחידה </w:t>
      </w:r>
      <w:r>
        <w:rPr/>
        <w:t>1</w:t>
      </w:r>
      <w:r>
        <w:rPr>
          <w:rtl w:val="true"/>
        </w:rPr>
        <w:t xml:space="preserve"> · </w:t>
      </w:r>
      <w:r>
        <w:rPr>
          <w:rtl w:val="true"/>
        </w:rPr>
        <w:t>הרשות המבצעת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38"/>
        <w:gridCol w:w="8567"/>
      </w:tblGrid>
      <w:tr>
        <w:trPr/>
        <w:tc>
          <w:tcPr>
            <w:tcW w:w="163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56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הרשות המבצעת</w:t>
            </w:r>
          </w:p>
        </w:tc>
        <w:tc>
          <w:tcPr>
            <w:tcW w:w="85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הממשלה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השרים ומשרדי הממשלה — הגוף שמבצע בפועל את מדיניות המדינה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קביעת מדיניות ויישומה</w:t>
            </w:r>
          </w:p>
        </w:tc>
        <w:tc>
          <w:tcPr>
            <w:tcW w:w="85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תפקיד הממשלה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קבלת החלטות וקביעת קווי פעולה בתחומים שבאחריות משרדי הממשלה השונים — ויישומן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קווי יסוד של הממשלה</w:t>
            </w:r>
          </w:p>
        </w:tc>
        <w:tc>
          <w:tcPr>
            <w:tcW w:w="85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החלטות הממשלה נותנות ביטוי לקווי היסוד שלה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הנקבעים בהתאם להסכמים הקואליציוניים בין הסיעות השותפות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חקיקה ראשית</w:t>
            </w:r>
          </w:p>
        </w:tc>
        <w:tc>
          <w:tcPr>
            <w:tcW w:w="85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חקיקה שנעשית על ידי הכנסת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חקיקת משנה</w:t>
            </w:r>
          </w:p>
        </w:tc>
        <w:tc>
          <w:tcPr>
            <w:tcW w:w="85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חקיקה הנעשית על ידי הרשות המבצעת 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 xml:space="preserve">השרים 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 xml:space="preserve">רשות מקומית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באמצעות צווים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תקנות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חוקי עזר עירוניים</w:t>
            </w:r>
            <w:r>
              <w:rPr>
                <w:rtl w:val="true"/>
              </w:rPr>
              <w:t xml:space="preserve">). </w:t>
            </w:r>
            <w:r>
              <w:rPr>
                <w:rtl w:val="true"/>
              </w:rPr>
              <w:t>נועדה לאפשר ביצוע החוק וקידום מטרותיו על ידי פירוט העקרונות שנקבעו בחקיקה ראשית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אסור שתסתור חקיקה ראשית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והיא נתונה לפיקוח ועדות הכנסת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אחריות ממשלתית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משותפת</w:t>
            </w:r>
            <w:r>
              <w:rPr>
                <w:rtl w:val="true"/>
              </w:rPr>
              <w:t>)</w:t>
            </w:r>
          </w:p>
        </w:tc>
        <w:tc>
          <w:tcPr>
            <w:tcW w:w="85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אחריות של כל השרים על כל החלטות הממשלה — גם אם התנגדו להן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אחריות מיניסטריאלית</w:t>
            </w:r>
          </w:p>
        </w:tc>
        <w:tc>
          <w:tcPr>
            <w:tcW w:w="85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לכל שר בממשלה אחריות כלפי הכנסת והממשלה ביחס לנושאים שבתחום משרדו ולפעולות סגל עובדיו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אף אם נעשו שלא בידיעתו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חובת השר לדווח בכנסת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להשיב על שאילתות ולתקן בעיות בתחומו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האחריות היא ציבורית בלבד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לא משפטית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דמיון בין שני סוגי האחריות</w:t>
            </w:r>
          </w:p>
        </w:tc>
        <w:tc>
          <w:tcPr>
            <w:tcW w:w="85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בשתיהן האחריות מופנית כלפי הכנסת וכלפי הציבור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הבדל בין שני סוגי האחריות</w:t>
            </w:r>
          </w:p>
        </w:tc>
        <w:tc>
          <w:tcPr>
            <w:tcW w:w="85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אחריות ממשלתית — כל השרים על כל החלטות הממשלה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אחריות מיניסטריאלית — השר על הקורה במשרדו ועל פעולות עובדיו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יחידה </w:t>
      </w:r>
      <w:r>
        <w:rPr/>
        <w:t>2</w:t>
      </w:r>
      <w:r>
        <w:rPr>
          <w:rtl w:val="true"/>
        </w:rPr>
        <w:t xml:space="preserve"> · </w:t>
      </w:r>
      <w:r>
        <w:rPr>
          <w:rtl w:val="true"/>
        </w:rPr>
        <w:t>זכויות האדם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14"/>
        <w:gridCol w:w="8091"/>
      </w:tblGrid>
      <w:tr>
        <w:trPr/>
        <w:tc>
          <w:tcPr>
            <w:tcW w:w="2114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09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1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האדם הטבעיות</w:t>
            </w:r>
          </w:p>
        </w:tc>
        <w:tc>
          <w:tcPr>
            <w:tcW w:w="809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חיים וביטחון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קניין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חירות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חופש הביטוי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חופש המחשבה והמצפון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חופש התנועה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חופש העיסוק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חופש דת וחופש מדת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שוויון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כבוד והליך משפטי הוגן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1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הזכות לחיים וביטחון 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>שלמות הגוף</w:t>
            </w:r>
          </w:p>
        </w:tc>
        <w:tc>
          <w:tcPr>
            <w:tcW w:w="809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זכותו של כל אדם לחיות ללא חשש מפני פגיעה בחייו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בגופו ובביטחונו האישי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1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שוויון — מובן מצומצם</w:t>
            </w:r>
          </w:p>
        </w:tc>
        <w:tc>
          <w:tcPr>
            <w:tcW w:w="809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לכל אדם הזכות לשוויון בפני החוק ולשוויון פוליטי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הזכות לבחור ולהיבחר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21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שוויון — מובן רחב</w:t>
            </w:r>
          </w:p>
        </w:tc>
        <w:tc>
          <w:tcPr>
            <w:tcW w:w="809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זכות לשוויון הזדמנויות במובן הכלכלי והחברתי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אופני היישום הראויים שלה שנויים במחלוקת ציבורית בכל חברה דמוקרטית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1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הזכות לפרטיות</w:t>
            </w:r>
          </w:p>
        </w:tc>
        <w:tc>
          <w:tcPr>
            <w:tcW w:w="809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זכותו הטבעית של אדם לחיות את חייו ללא חשיפה לגופו ולמרחבו הפרטי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היא נגזרת של הזכות לכבוד — פגיעה בפרטיות היא גם פגיעה בכבודו של האדם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150" w:after="150"/>
        <w:ind w:left="150" w:right="150" w:hanging="0"/>
        <w:jc w:val="right"/>
        <w:rPr>
          <w:shd w:fill="EEF3F9" w:val="clear"/>
        </w:rPr>
      </w:pPr>
      <w:r>
        <w:rPr>
          <w:bCs/>
          <w:shd w:fill="EEF3F9" w:val="clear"/>
          <w:rtl w:val="true"/>
        </w:rPr>
        <w:t>למה המילון הזה כל כך חשוב</w:t>
      </w:r>
      <w:r>
        <w:rPr>
          <w:b/>
          <w:shd w:fill="EEF3F9" w:val="clear"/>
          <w:rtl w:val="true"/>
        </w:rPr>
        <w:t>?</w:t>
      </w:r>
      <w:r>
        <w:rPr>
          <w:shd w:fill="EEF3F9" w:val="clear"/>
          <w:rtl w:val="true"/>
        </w:rPr>
        <w:t xml:space="preserve"> </w:t>
      </w:r>
      <w:r>
        <w:rPr>
          <w:shd w:fill="EEF3F9" w:val="clear"/>
          <w:rtl w:val="true"/>
        </w:rPr>
        <w:t xml:space="preserve">בשאלון </w:t>
      </w:r>
      <w:r>
        <w:rPr>
          <w:shd w:fill="EEF3F9" w:val="clear"/>
        </w:rPr>
        <w:t>34281</w:t>
      </w:r>
      <w:r>
        <w:rPr>
          <w:shd w:fill="EEF3F9" w:val="clear"/>
          <w:rtl w:val="true"/>
        </w:rPr>
        <w:t xml:space="preserve"> </w:t>
      </w:r>
      <w:r>
        <w:rPr>
          <w:shd w:fill="EEF3F9" w:val="clear"/>
          <w:rtl w:val="true"/>
        </w:rPr>
        <w:t>כמעט כל שאלה נפתחת ב</w:t>
      </w:r>
      <w:r>
        <w:rPr>
          <w:shd w:fill="EEF3F9" w:val="clear"/>
          <w:rtl w:val="true"/>
        </w:rPr>
        <w:t>"</w:t>
      </w:r>
      <w:r>
        <w:rPr>
          <w:shd w:fill="EEF3F9" w:val="clear"/>
          <w:rtl w:val="true"/>
        </w:rPr>
        <w:t>ציינו והציגו מושג</w:t>
      </w:r>
      <w:r>
        <w:rPr>
          <w:shd w:fill="EEF3F9" w:val="clear"/>
          <w:rtl w:val="true"/>
        </w:rPr>
        <w:t xml:space="preserve">" — </w:t>
      </w:r>
      <w:r>
        <w:rPr>
          <w:shd w:fill="EEF3F9" w:val="clear"/>
          <w:rtl w:val="true"/>
        </w:rPr>
        <w:t>ההגדרה שווה נקודות</w:t>
      </w:r>
      <w:r>
        <w:rPr>
          <w:shd w:fill="EEF3F9" w:val="clear"/>
          <w:rtl w:val="true"/>
        </w:rPr>
        <w:t xml:space="preserve">. </w:t>
      </w:r>
      <w:r>
        <w:rPr>
          <w:shd w:fill="EEF3F9" w:val="clear"/>
          <w:rtl w:val="true"/>
        </w:rPr>
        <w:t>מי שיודע את ההגדרות מהלימוד מתחיל כל שאלה בביטחון</w:t>
      </w:r>
      <w:r>
        <w:rPr>
          <w:shd w:fill="EEF3F9" w:val="clear"/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