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הרשות השופטת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5"/>
        <w:gridCol w:w="8930"/>
      </w:tblGrid>
      <w:tr>
        <w:trPr/>
        <w:tc>
          <w:tcPr>
            <w:tcW w:w="127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תנאי העסקת השופטים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שכר השופטים גבוה ונקבע ע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 ועדת הכספים של הכנסת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משך כהונת שופט הוא עד גיל פרישה </w:t>
            </w:r>
            <w:r>
              <w:rPr>
                <w:rtl w:val="true"/>
              </w:rPr>
              <w:t>(</w:t>
            </w:r>
            <w:r>
              <w:rPr/>
              <w:t>70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אסור לשופט לשמש בכל תפקיד פוליטי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הדחת שופט נעשית בגין עבירות חמורות ולא בגין תוכן פסקי הדין שלו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בחירת שופטים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נעשית ע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י ועדה ובה </w:t>
            </w:r>
            <w:r>
              <w:rPr/>
              <w:t>9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חברים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שר המשפטים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נשיא ביהמ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ש העליון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שני שופטי עליון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שר נוסף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שני חברי 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שני נציגים של לשכת עורכי הדין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משפט אזרחי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משפט העוסק בסכסוכים שבין אדם לחברו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המשפט מכריע בסכסוך בין הצדדים על פי החוק והראיות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תפקידי בית המשפט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יישוב סכסוכים בין אזרחים ובין אזרחים לשלטון על פי דין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הכפיפות לשלטון החוק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כולם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לרבות שופטים ומוסדות השלטון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כפופים לחוק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עצמאות הרשות השופטת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עצמאות אישית של השופט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קביעות מובטחת בחוק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הליכי הדחה מחוקקים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מינוי על ידי נשיא המדינה בהמלצת ועדה מיוחדת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עצמאות מוסדית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ניהול מערכת בתי המשפט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תקציב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מינויים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הטלת תיקים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מופקד בידי נשיא בית המשפט העליון ומנהל בתי המשפט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ולא בידי שר המשפטים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מינוי שופטים</w:t>
            </w:r>
          </w:p>
        </w:tc>
        <w:tc>
          <w:tcPr>
            <w:tcW w:w="89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הועדה לבחירת שופטים מונה </w:t>
            </w:r>
            <w:r>
              <w:rPr/>
              <w:t>9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חברים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שר המשפטים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יו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ר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שר נוסף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שני חברי 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שני חברי לשכת עורכי הדין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נשיא בית המשפט העליון ושני שופטי עליון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