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מילון מושגים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הרשות המחוקקת</w:t>
      </w:r>
    </w:p>
    <w:p>
      <w:pPr>
        <w:pStyle w:val="TextBody"/>
        <w:bidi w:val="1"/>
        <w:spacing w:before="60" w:after="180"/>
        <w:ind w:left="60" w:right="60" w:hanging="0"/>
        <w:jc w:val="right"/>
        <w:rPr>
          <w:bdr w:val="single" w:sz="2" w:space="6" w:color="E6D9B0"/>
          <w:shd w:fill="FAF3DF" w:val="clear"/>
        </w:rPr>
      </w:pPr>
      <w:r>
        <w:rPr>
          <w:bCs/>
          <w:bdr w:val="single" w:sz="2" w:space="6" w:color="E6D9B0"/>
          <w:shd w:fill="FAF3DF" w:val="clear"/>
          <w:rtl w:val="true"/>
        </w:rPr>
        <w:t>איך משתמשים במילון</w:t>
      </w:r>
      <w:r>
        <w:rPr>
          <w:b/>
          <w:bdr w:val="single" w:sz="2" w:space="6" w:color="E6D9B0"/>
          <w:shd w:fill="FAF3DF" w:val="clear"/>
          <w:rtl w:val="true"/>
        </w:rPr>
        <w:t>?</w:t>
      </w:r>
      <w:r>
        <w:rPr>
          <w:bdr w:val="single" w:sz="2" w:space="6" w:color="E6D9B0"/>
          <w:shd w:fill="FAF3DF" w:val="clear"/>
          <w:rtl w:val="true"/>
        </w:rPr>
        <w:t xml:space="preserve"> </w:t>
      </w:r>
      <w:r>
        <w:rPr>
          <w:bdr w:val="single" w:sz="2" w:space="6" w:color="E6D9B0"/>
          <w:shd w:fill="FAF3DF" w:val="clear"/>
          <w:rtl w:val="true"/>
        </w:rPr>
        <w:t xml:space="preserve">בבגרות כתוב </w:t>
      </w:r>
      <w:r>
        <w:rPr>
          <w:bdr w:val="single" w:sz="2" w:space="6" w:color="E6D9B0"/>
          <w:shd w:fill="FAF3DF" w:val="clear"/>
          <w:rtl w:val="true"/>
        </w:rPr>
        <w:t>"</w:t>
      </w:r>
      <w:r>
        <w:rPr>
          <w:bdr w:val="single" w:sz="2" w:space="6" w:color="E6D9B0"/>
          <w:shd w:fill="FAF3DF" w:val="clear"/>
          <w:rtl w:val="true"/>
        </w:rPr>
        <w:t>הציגו מושג</w:t>
      </w:r>
      <w:r>
        <w:rPr>
          <w:bdr w:val="single" w:sz="2" w:space="6" w:color="E6D9B0"/>
          <w:shd w:fill="FAF3DF" w:val="clear"/>
          <w:rtl w:val="true"/>
        </w:rPr>
        <w:t xml:space="preserve">" — </w:t>
      </w:r>
      <w:r>
        <w:rPr>
          <w:bdr w:val="single" w:sz="2" w:space="6" w:color="E6D9B0"/>
          <w:shd w:fill="FAF3DF" w:val="clear"/>
          <w:rtl w:val="true"/>
        </w:rPr>
        <w:t xml:space="preserve">וההגדרה חייבת לבוא </w:t>
      </w:r>
      <w:r>
        <w:rPr>
          <w:bCs/>
          <w:bdr w:val="single" w:sz="2" w:space="6" w:color="E6D9B0"/>
          <w:shd w:fill="FAF3DF" w:val="clear"/>
          <w:rtl w:val="true"/>
        </w:rPr>
        <w:t>מהחומר שלמדתם</w:t>
      </w:r>
      <w:r>
        <w:rPr>
          <w:b/>
          <w:bdr w:val="single" w:sz="2" w:space="6" w:color="E6D9B0"/>
          <w:shd w:fill="FAF3DF" w:val="clear"/>
          <w:rtl w:val="true"/>
        </w:rPr>
        <w:t xml:space="preserve">, </w:t>
      </w:r>
      <w:r>
        <w:rPr>
          <w:bCs/>
          <w:bdr w:val="single" w:sz="2" w:space="6" w:color="E6D9B0"/>
          <w:shd w:fill="FAF3DF" w:val="clear"/>
          <w:rtl w:val="true"/>
        </w:rPr>
        <w:t>לא מהקטע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לכן</w:t>
      </w:r>
      <w:r>
        <w:rPr>
          <w:bdr w:val="single" w:sz="2" w:space="6" w:color="E6D9B0"/>
          <w:shd w:fill="FAF3DF" w:val="clear"/>
          <w:rtl w:val="true"/>
        </w:rPr>
        <w:t xml:space="preserve">: </w:t>
      </w:r>
      <w:r>
        <w:rPr>
          <w:bdr w:val="single" w:sz="2" w:space="6" w:color="E6D9B0"/>
          <w:shd w:fill="FAF3DF" w:val="clear"/>
          <w:rtl w:val="true"/>
        </w:rPr>
        <w:t>קוראים את המושג</w:t>
      </w:r>
      <w:r>
        <w:rPr>
          <w:bdr w:val="single" w:sz="2" w:space="6" w:color="E6D9B0"/>
          <w:shd w:fill="FAF3DF" w:val="clear"/>
          <w:rtl w:val="true"/>
        </w:rPr>
        <w:t xml:space="preserve">, </w:t>
      </w:r>
      <w:r>
        <w:rPr>
          <w:bdr w:val="single" w:sz="2" w:space="6" w:color="E6D9B0"/>
          <w:shd w:fill="FAF3DF" w:val="clear"/>
          <w:rtl w:val="true"/>
        </w:rPr>
        <w:t>מכסים את ההסבר ואומרים אותו במילים שלכם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בסוף בודקים את עצמכם במשחק ההתאמה שבעמוד הנושא</w:t>
      </w:r>
      <w:r>
        <w:rPr>
          <w:bdr w:val="single" w:sz="2" w:space="6" w:color="E6D9B0"/>
          <w:shd w:fill="FAF3DF" w:val="clear"/>
          <w:rtl w:val="true"/>
        </w:rPr>
        <w:t>.</w:t>
      </w:r>
    </w:p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הנושא במבט כולל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526"/>
        <w:gridCol w:w="8679"/>
      </w:tblGrid>
      <w:tr>
        <w:trPr/>
        <w:tc>
          <w:tcPr>
            <w:tcW w:w="1526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679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52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גישה כלכלית ליברלית</w:t>
            </w:r>
            <w:r>
              <w:rPr>
                <w:rtl w:val="true"/>
              </w:rPr>
              <w:t>/</w:t>
            </w:r>
            <w:r>
              <w:rPr>
                <w:rtl w:val="true"/>
              </w:rPr>
              <w:t>ניאו ליברלית</w:t>
            </w:r>
          </w:p>
        </w:tc>
        <w:tc>
          <w:tcPr>
            <w:tcW w:w="867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מדגישה את החירות הכלכלית על פני השוויון החברתי</w:t>
            </w:r>
            <w:r>
              <w:rPr>
                <w:rtl w:val="true"/>
              </w:rPr>
              <w:t>-</w:t>
            </w:r>
            <w:r>
              <w:rPr>
                <w:rtl w:val="true"/>
              </w:rPr>
              <w:t>כלכלי</w:t>
            </w:r>
            <w:r>
              <w:rPr>
                <w:rtl w:val="true"/>
              </w:rPr>
              <w:t xml:space="preserve">/ </w:t>
            </w:r>
            <w:r>
              <w:rPr>
                <w:rtl w:val="true"/>
              </w:rPr>
              <w:t>סוברת שחירות מקדמת את טובת החברה כולה ובתוכה את החלשים</w:t>
            </w:r>
          </w:p>
        </w:tc>
      </w:tr>
      <w:tr>
        <w:trPr/>
        <w:tc>
          <w:tcPr>
            <w:tcW w:w="152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חוק שעות עבודה ומנוחה</w:t>
            </w:r>
          </w:p>
        </w:tc>
        <w:tc>
          <w:tcPr>
            <w:tcW w:w="867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החוק מגדיר את שעות העבודה וימי עבודה ומנוחה במשק</w:t>
            </w:r>
          </w:p>
        </w:tc>
      </w:tr>
      <w:tr>
        <w:trPr/>
        <w:tc>
          <w:tcPr>
            <w:tcW w:w="152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ייצוג האזרחים</w:t>
            </w:r>
          </w:p>
        </w:tc>
        <w:tc>
          <w:tcPr>
            <w:tcW w:w="867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חברי הכנסת נבחרים על ידי האזרחים במדינה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במהלך הבחירות כל מפלגה מנסחת מצע בחירות במסגרתו היא מפרסמת את ההתחייבויות שלה מול ציבור הבוחרים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מעבר לזה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כל אזרח יכול לפנות לחברי הכנסת במהלך כהונתם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במטרה שיפעלו לטובתו האישית או לטובת הציבור באופן כללי</w:t>
            </w:r>
          </w:p>
        </w:tc>
      </w:tr>
      <w:tr>
        <w:trPr/>
        <w:tc>
          <w:tcPr>
            <w:tcW w:w="152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אספה מכוננת</w:t>
            </w:r>
          </w:p>
        </w:tc>
        <w:tc>
          <w:tcPr>
            <w:tcW w:w="867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הכנסת היא הרשות האמונה על ניסוח חוקה לישראל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על פי החלטת הכנסת הראשונה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כנסת ישראל לא מנסחת חוקה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אלא מנסחת חוקי יסוד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חוקים אלה מהווים פרקים בחוקה עתידית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הוועדה האחראית על ניסוח החוקה היא ועדת הכנסת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חוק חוקה ומשפט</w:t>
            </w:r>
          </w:p>
        </w:tc>
      </w:tr>
      <w:tr>
        <w:trPr/>
        <w:tc>
          <w:tcPr>
            <w:tcW w:w="152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כינון ממשלה</w:t>
            </w:r>
          </w:p>
        </w:tc>
        <w:tc>
          <w:tcPr>
            <w:tcW w:w="867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הכנסת מכוננת את הממשלה בהצבעת אמון ומוסמכת להצביע אי אמון בממשלה</w:t>
            </w:r>
          </w:p>
        </w:tc>
      </w:tr>
      <w:tr>
        <w:trPr/>
        <w:tc>
          <w:tcPr>
            <w:tcW w:w="152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חקיקה ראשית</w:t>
            </w:r>
          </w:p>
        </w:tc>
        <w:tc>
          <w:tcPr>
            <w:tcW w:w="867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תפקידה העיקרי של הכנסת הוא חקיקת חוקים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תהליך החקיקה כולל הצעות חוק פרטיות וממשלתיות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כל הצעה צריכה לקבל רוב במספר הצבעות במליאת הכנסת</w:t>
            </w:r>
          </w:p>
        </w:tc>
      </w:tr>
      <w:tr>
        <w:trPr/>
        <w:tc>
          <w:tcPr>
            <w:tcW w:w="152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פיקוח וביקורת</w:t>
            </w:r>
          </w:p>
        </w:tc>
        <w:tc>
          <w:tcPr>
            <w:tcW w:w="867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הכנסת מהווה מנגנון פיקוח פורמלי שמפקח ומבקר את מדיניותה ופעולותיה של הרשות המבצעת ע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יי אופוזיציה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ועדות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אישור תקציב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כלים פרלמנטריים</w:t>
            </w:r>
          </w:p>
        </w:tc>
      </w:tr>
      <w:tr>
        <w:trPr/>
        <w:tc>
          <w:tcPr>
            <w:tcW w:w="152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מינוי בעלי תפקידים</w:t>
            </w:r>
          </w:p>
        </w:tc>
        <w:tc>
          <w:tcPr>
            <w:tcW w:w="867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הכנסת בוחרת וממנה בכירים כמו נשיא המדינה ומבקר המדינה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הבחירה נעשית באמצעות הצבעת רוב בכנסת</w:t>
            </w:r>
          </w:p>
        </w:tc>
      </w:tr>
      <w:tr>
        <w:trPr/>
        <w:tc>
          <w:tcPr>
            <w:tcW w:w="152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אסיפה מכוננת</w:t>
            </w:r>
          </w:p>
        </w:tc>
        <w:tc>
          <w:tcPr>
            <w:tcW w:w="867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בהתאם לפסיקת בית המשפט הכנסת מהווה גם רשות מכוננת לענייני חוקה</w:t>
            </w:r>
          </w:p>
        </w:tc>
      </w:tr>
    </w:tbl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