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מילון מושגים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המאפיינים היהודיים של המדינה</w:t>
      </w:r>
    </w:p>
    <w:p>
      <w:pPr>
        <w:pStyle w:val="TextBody"/>
        <w:bidi w:val="1"/>
        <w:spacing w:before="60" w:after="180"/>
        <w:ind w:left="60" w:right="60" w:hanging="0"/>
        <w:jc w:val="right"/>
        <w:rPr>
          <w:bdr w:val="single" w:sz="2" w:space="6" w:color="E6D9B0"/>
          <w:shd w:fill="FAF3DF" w:val="clear"/>
        </w:rPr>
      </w:pPr>
      <w:r>
        <w:rPr>
          <w:bCs/>
          <w:bdr w:val="single" w:sz="2" w:space="6" w:color="E6D9B0"/>
          <w:shd w:fill="FAF3DF" w:val="clear"/>
          <w:rtl w:val="true"/>
        </w:rPr>
        <w:t>איך משתמשים במילון</w:t>
      </w:r>
      <w:r>
        <w:rPr>
          <w:b/>
          <w:bdr w:val="single" w:sz="2" w:space="6" w:color="E6D9B0"/>
          <w:shd w:fill="FAF3DF" w:val="clear"/>
          <w:rtl w:val="true"/>
        </w:rPr>
        <w:t>?</w:t>
      </w:r>
      <w:r>
        <w:rPr>
          <w:bdr w:val="single" w:sz="2" w:space="6" w:color="E6D9B0"/>
          <w:shd w:fill="FAF3DF" w:val="clear"/>
          <w:rtl w:val="true"/>
        </w:rPr>
        <w:t xml:space="preserve"> </w:t>
      </w:r>
      <w:r>
        <w:rPr>
          <w:bdr w:val="single" w:sz="2" w:space="6" w:color="E6D9B0"/>
          <w:shd w:fill="FAF3DF" w:val="clear"/>
          <w:rtl w:val="true"/>
        </w:rPr>
        <w:t xml:space="preserve">בבגרות כתוב </w:t>
      </w:r>
      <w:r>
        <w:rPr>
          <w:bdr w:val="single" w:sz="2" w:space="6" w:color="E6D9B0"/>
          <w:shd w:fill="FAF3DF" w:val="clear"/>
          <w:rtl w:val="true"/>
        </w:rPr>
        <w:t>"</w:t>
      </w:r>
      <w:r>
        <w:rPr>
          <w:bdr w:val="single" w:sz="2" w:space="6" w:color="E6D9B0"/>
          <w:shd w:fill="FAF3DF" w:val="clear"/>
          <w:rtl w:val="true"/>
        </w:rPr>
        <w:t>הציגו מושג</w:t>
      </w:r>
      <w:r>
        <w:rPr>
          <w:bdr w:val="single" w:sz="2" w:space="6" w:color="E6D9B0"/>
          <w:shd w:fill="FAF3DF" w:val="clear"/>
          <w:rtl w:val="true"/>
        </w:rPr>
        <w:t xml:space="preserve">" — </w:t>
      </w:r>
      <w:r>
        <w:rPr>
          <w:bdr w:val="single" w:sz="2" w:space="6" w:color="E6D9B0"/>
          <w:shd w:fill="FAF3DF" w:val="clear"/>
          <w:rtl w:val="true"/>
        </w:rPr>
        <w:t xml:space="preserve">וההגדרה חייבת לבוא </w:t>
      </w:r>
      <w:r>
        <w:rPr>
          <w:bCs/>
          <w:bdr w:val="single" w:sz="2" w:space="6" w:color="E6D9B0"/>
          <w:shd w:fill="FAF3DF" w:val="clear"/>
          <w:rtl w:val="true"/>
        </w:rPr>
        <w:t>מהחומר שלמדתם</w:t>
      </w:r>
      <w:r>
        <w:rPr>
          <w:b/>
          <w:bdr w:val="single" w:sz="2" w:space="6" w:color="E6D9B0"/>
          <w:shd w:fill="FAF3DF" w:val="clear"/>
          <w:rtl w:val="true"/>
        </w:rPr>
        <w:t xml:space="preserve">, </w:t>
      </w:r>
      <w:r>
        <w:rPr>
          <w:bCs/>
          <w:bdr w:val="single" w:sz="2" w:space="6" w:color="E6D9B0"/>
          <w:shd w:fill="FAF3DF" w:val="clear"/>
          <w:rtl w:val="true"/>
        </w:rPr>
        <w:t>לא מהקטע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לכן</w:t>
      </w:r>
      <w:r>
        <w:rPr>
          <w:bdr w:val="single" w:sz="2" w:space="6" w:color="E6D9B0"/>
          <w:shd w:fill="FAF3DF" w:val="clear"/>
          <w:rtl w:val="true"/>
        </w:rPr>
        <w:t xml:space="preserve">: </w:t>
      </w:r>
      <w:r>
        <w:rPr>
          <w:bdr w:val="single" w:sz="2" w:space="6" w:color="E6D9B0"/>
          <w:shd w:fill="FAF3DF" w:val="clear"/>
          <w:rtl w:val="true"/>
        </w:rPr>
        <w:t>קוראים את המושג</w:t>
      </w:r>
      <w:r>
        <w:rPr>
          <w:bdr w:val="single" w:sz="2" w:space="6" w:color="E6D9B0"/>
          <w:shd w:fill="FAF3DF" w:val="clear"/>
          <w:rtl w:val="true"/>
        </w:rPr>
        <w:t xml:space="preserve">, </w:t>
      </w:r>
      <w:r>
        <w:rPr>
          <w:bdr w:val="single" w:sz="2" w:space="6" w:color="E6D9B0"/>
          <w:shd w:fill="FAF3DF" w:val="clear"/>
          <w:rtl w:val="true"/>
        </w:rPr>
        <w:t>מכסים את ההסבר ואומרים אותו במילים שלכם</w:t>
      </w:r>
      <w:r>
        <w:rPr>
          <w:bdr w:val="single" w:sz="2" w:space="6" w:color="E6D9B0"/>
          <w:shd w:fill="FAF3DF" w:val="clear"/>
          <w:rtl w:val="true"/>
        </w:rPr>
        <w:t xml:space="preserve">. </w:t>
      </w:r>
      <w:r>
        <w:rPr>
          <w:bdr w:val="single" w:sz="2" w:space="6" w:color="E6D9B0"/>
          <w:shd w:fill="FAF3DF" w:val="clear"/>
          <w:rtl w:val="true"/>
        </w:rPr>
        <w:t>בסוף בודקים את עצמכם במשחק ההתאמה שבעמוד הנושא</w:t>
      </w:r>
      <w:r>
        <w:rPr>
          <w:bdr w:val="single" w:sz="2" w:space="6" w:color="E6D9B0"/>
          <w:shd w:fill="FAF3DF" w:val="clear"/>
          <w:rtl w:val="true"/>
        </w:rPr>
        <w:t>.</w:t>
      </w:r>
    </w:p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חוק השבות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280"/>
        <w:gridCol w:w="8925"/>
      </w:tblGrid>
      <w:tr>
        <w:trPr/>
        <w:tc>
          <w:tcPr>
            <w:tcW w:w="1280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925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2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יסוד כבוד האדם וחירותו</w:t>
            </w:r>
          </w:p>
        </w:tc>
        <w:tc>
          <w:tcPr>
            <w:tcW w:w="89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המפרט את זכויות היסוד של האדם בישראל הכוללות הזכות לחיים ולשלמות הגוף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זכות הקניין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הזכות לכבוד ולפרטיות וחופש התנועה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בחוק יש פסקת הגבלה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ניתן לחוקק חוק הסותר את הזכויות שבחוק היסוד רק בתנאי שהוא </w:t>
            </w:r>
            <w:r>
              <w:rPr>
                <w:rtl w:val="true"/>
              </w:rPr>
              <w:t>"</w:t>
            </w:r>
            <w:r>
              <w:rPr>
                <w:rtl w:val="true"/>
              </w:rPr>
              <w:t>הולם את ערכיה של מדינת ישראל ונועד לתכלית ראויה</w:t>
            </w:r>
            <w:r>
              <w:rPr>
                <w:rtl w:val="true"/>
              </w:rPr>
              <w:t xml:space="preserve">" </w:t>
            </w:r>
            <w:r>
              <w:rPr>
                <w:rtl w:val="true"/>
              </w:rPr>
              <w:t>ופגיעתו בזכות מידתית</w:t>
            </w:r>
          </w:p>
        </w:tc>
      </w:tr>
      <w:tr>
        <w:trPr/>
        <w:tc>
          <w:tcPr>
            <w:tcW w:w="1280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השבות</w:t>
            </w:r>
          </w:p>
        </w:tc>
        <w:tc>
          <w:tcPr>
            <w:tcW w:w="8925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החוק קובע שכל יהודי זכאי לעלות למדינת ישראל בכל עת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הזכות חלה גם על בן או בת הזוג של היהודי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על ילדיו ועל נכדיו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מטרת החוק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קיבוץ גלויות — לאסוף את יהודי התפוצות למדינת היהודים</w:t>
            </w:r>
            <w:r>
              <w:rPr>
                <w:rtl w:val="true"/>
              </w:rPr>
              <w:t>.</w:t>
            </w:r>
          </w:p>
        </w:tc>
      </w:tr>
    </w:tbl>
    <w:p>
      <w:pPr>
        <w:pStyle w:val="Heading2unit"/>
        <w:pBdr/>
        <w:shd w:fill="EEF3F9" w:val="clear"/>
        <w:bidi w:val="1"/>
        <w:spacing w:before="210" w:after="90"/>
        <w:ind w:left="210" w:right="210" w:hanging="0"/>
        <w:jc w:val="right"/>
        <w:rPr/>
      </w:pPr>
      <w:r>
        <w:rPr>
          <w:rtl w:val="true"/>
        </w:rPr>
        <w:t>היבטים נוספים בנושא</w:t>
      </w:r>
    </w:p>
    <w:tbl>
      <w:tblPr>
        <w:bidiVisual w:val="true"/>
        <w:tblW w:w="10205" w:type="dxa"/>
        <w:jc w:val="left"/>
        <w:tblInd w:w="0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1568"/>
        <w:gridCol w:w="8637"/>
      </w:tblGrid>
      <w:tr>
        <w:trPr/>
        <w:tc>
          <w:tcPr>
            <w:tcW w:w="1568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מושג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Heading"/>
              <w:suppressLineNumbers/>
              <w:bidi w:val="1"/>
              <w:jc w:val="center"/>
              <w:rPr/>
            </w:pPr>
            <w:r>
              <w:rPr>
                <w:rtl w:val="true"/>
              </w:rPr>
              <w:t>מה צריך לדעת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חקיקה דתית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 xml:space="preserve">לפי הגישה של מדינה המשלבת חקיקה דתית בהיקף חלקי עליה לשאוף לשלב מרכיבים הלכתיים בחקיקה ובמרחב הציבורי משיקולים דתיים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אין הפרדה בין דת למדינה</w:t>
            </w:r>
            <w:r>
              <w:rPr>
                <w:rtl w:val="true"/>
              </w:rPr>
              <w:t xml:space="preserve">), </w:t>
            </w:r>
            <w:r>
              <w:rPr>
                <w:rtl w:val="true"/>
              </w:rPr>
              <w:t>בעוד שלפי הגישה מדינה חילונית שיש בה הפרדה בין דת למדינה אין זה מתפקידה של המדינה לחוקק חוקים דתיים</w:t>
            </w:r>
            <w:r>
              <w:rPr>
                <w:rtl w:val="true"/>
              </w:rPr>
              <w:t>. (</w:t>
            </w:r>
            <w:r>
              <w:rPr>
                <w:rtl w:val="true"/>
              </w:rPr>
              <w:t>יש הפרדה בין דת למדינה</w:t>
            </w:r>
            <w:r>
              <w:rPr>
                <w:rtl w:val="true"/>
              </w:rPr>
              <w:t>)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מעמד השפה העברית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לפי חוק יסוד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 xml:space="preserve">ישראל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 xml:space="preserve">מדינת הלאום של העם היהודי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 xml:space="preserve">סעיף </w:t>
            </w:r>
            <w:r>
              <w:rPr/>
              <w:t>4</w:t>
            </w:r>
            <w:r>
              <w:rPr>
                <w:rtl w:val="true"/>
              </w:rPr>
              <w:t xml:space="preserve">): </w:t>
            </w:r>
            <w:r>
              <w:rPr>
                <w:rtl w:val="true"/>
              </w:rPr>
              <w:t>עברית היא שפת המדינה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ולשפה הערבית מעמד מיוחד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 xml:space="preserve">השפה היא אחד ממאפייני המרחב הציבורי </w:t>
            </w:r>
            <w:r>
              <w:rPr>
                <w:rtl w:val="true"/>
              </w:rPr>
              <w:t>(</w:t>
            </w:r>
            <w:r>
              <w:rPr>
                <w:rtl w:val="true"/>
              </w:rPr>
              <w:t>שפה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לוח שנה וסמלי המדינה</w:t>
            </w:r>
            <w:r>
              <w:rPr>
                <w:rtl w:val="true"/>
              </w:rPr>
              <w:t xml:space="preserve">) </w:t>
            </w:r>
            <w:r>
              <w:rPr>
                <w:rtl w:val="true"/>
              </w:rPr>
              <w:t>המבטאים את אופייה היהודי של המדינה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לוח השנה העברי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לוח השנה העברי הוא לוח השנה הרשמי של מדינת ישראל כביטוי לאופייה היהודי של המדינה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החגים היהודים הינם ימי שבתון רשמיים במדינה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החוק מחייב שימוש בתאריך עברי בכל מסמך רשמי היוצא מטעם המדינה ומוסדותיה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שעות עבודה ומנוחה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החוק מגדיר את שעות העבודה וימי עבודה ומנוחה במשק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חוק חג המצות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החוק אוסר על בעלי עסקים הצגת ומכירת חמץ ברשות הרבים באזורים יהודים במהלך ימי חג הפסח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החוק אינו אוסר אכילת חמץ</w:t>
            </w:r>
            <w:r>
              <w:rPr>
                <w:rtl w:val="true"/>
              </w:rPr>
              <w:t xml:space="preserve">. • </w:t>
            </w:r>
            <w:r>
              <w:rPr>
                <w:rtl w:val="true"/>
              </w:rPr>
              <w:t>הצג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המחלוקת בחברה הישראלית בנוגע לסוגיית הנישואין והגירושין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יש הטוענים שנישואין וגירושין של יהודים יתבצעו רק על פי חוקי ההלכה</w:t>
            </w:r>
            <w:r>
              <w:rPr>
                <w:rtl w:val="true"/>
              </w:rPr>
              <w:t xml:space="preserve">. </w:t>
            </w:r>
            <w:r>
              <w:rPr>
                <w:rtl w:val="true"/>
              </w:rPr>
              <w:t>בעמדה זו מחזיקים בדרך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כלל ישראל שהם אורתודוקסים או מסורתיים וגם חילוניים</w:t>
            </w:r>
            <w:r>
              <w:rPr>
                <w:rtl w:val="true"/>
              </w:rPr>
              <w:t xml:space="preserve">. • </w:t>
            </w:r>
            <w:r>
              <w:rPr>
                <w:rtl w:val="true"/>
              </w:rPr>
              <w:t>הצג</w:t>
            </w:r>
            <w:r>
              <w:rPr>
                <w:rtl w:val="true"/>
              </w:rPr>
              <w:t xml:space="preserve">: </w:t>
            </w:r>
            <w:r>
              <w:rPr>
                <w:rtl w:val="true"/>
              </w:rPr>
              <w:t>הזכות לחירות</w:t>
            </w:r>
            <w:r>
              <w:rPr>
                <w:rtl w:val="true"/>
              </w:rPr>
              <w:t>.</w:t>
            </w:r>
          </w:p>
        </w:tc>
      </w:tr>
      <w:tr>
        <w:trPr/>
        <w:tc>
          <w:tcPr>
            <w:tcW w:w="1568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לוח השנה העברי וביטויו במרחב הציבורי בישראל</w:t>
            </w:r>
          </w:p>
        </w:tc>
        <w:tc>
          <w:tcPr>
            <w:tcW w:w="8637" w:type="dxa"/>
            <w:tcBorders/>
            <w:vAlign w:val="center"/>
          </w:tcPr>
          <w:p>
            <w:pPr>
              <w:pStyle w:val="TableContents"/>
              <w:widowControl w:val="false"/>
              <w:suppressLineNumbers/>
              <w:bidi w:val="1"/>
              <w:jc w:val="right"/>
              <w:rPr/>
            </w:pPr>
            <w:r>
              <w:rPr>
                <w:rtl w:val="true"/>
              </w:rPr>
              <w:t>לוח השנה העברי הוא לוח השנה הרשמי של מדינת ישראל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 xml:space="preserve">והוא מהווה ביטוי לאופייה היהודי של המדינה </w:t>
            </w:r>
            <w:r>
              <w:rPr>
                <w:rtl w:val="true"/>
              </w:rPr>
              <w:t xml:space="preserve">- </w:t>
            </w:r>
            <w:r>
              <w:rPr>
                <w:rtl w:val="true"/>
              </w:rPr>
              <w:t>החגים היהודים הינם ימי שבתון רשמיים במדינה והחוק מחייב שימוש בתאריך עברי בכל מסמך רשמי</w:t>
            </w:r>
            <w:r>
              <w:rPr>
                <w:rtl w:val="true"/>
              </w:rPr>
              <w:t xml:space="preserve">, </w:t>
            </w:r>
            <w:r>
              <w:rPr>
                <w:rtl w:val="true"/>
              </w:rPr>
              <w:t>היוצא מטעם המדינה ומוסדותיה</w:t>
            </w:r>
          </w:p>
        </w:tc>
      </w:tr>
    </w:tbl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Liberation Sans">
    <w:altName w:val="Arial"/>
    <w:charset w:val="00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