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Body"/>
        <w:bidi w:val="1"/>
        <w:spacing w:before="0" w:after="0"/>
        <w:jc w:val="right"/>
        <w:rPr>
          <w:color w:val="FFFFFF"/>
          <w:shd w:fill="1F3A5F" w:val="clear"/>
        </w:rPr>
      </w:pPr>
      <w:r>
        <w:rPr>
          <w:color w:val="FFFFFF"/>
          <w:shd w:fill="1F3A5F" w:val="clear"/>
          <w:rtl w:val="true"/>
        </w:rPr>
        <w:t xml:space="preserve">אזרחות </w:t>
      </w:r>
      <w:r>
        <w:rPr>
          <w:color w:val="FFFFFF"/>
          <w:shd w:fill="1F3A5F" w:val="clear"/>
          <w:rtl w:val="true"/>
        </w:rPr>
        <w:t xml:space="preserve">· </w:t>
      </w:r>
      <w:r>
        <w:rPr>
          <w:color w:val="FFFFFF"/>
          <w:shd w:fill="1F3A5F" w:val="clear"/>
          <w:rtl w:val="true"/>
        </w:rPr>
        <w:t xml:space="preserve">שאלון </w:t>
      </w:r>
      <w:r>
        <w:rPr>
          <w:color w:val="FFFFFF"/>
          <w:shd w:fill="1F3A5F" w:val="clear"/>
        </w:rPr>
        <w:t>34281</w:t>
      </w:r>
    </w:p>
    <w:p>
      <w:pPr>
        <w:pStyle w:val="TextBody"/>
        <w:bidi w:val="1"/>
        <w:spacing w:before="0" w:after="60"/>
        <w:jc w:val="right"/>
        <w:rPr>
          <w:bCs/>
          <w:color w:val="FFFFFF"/>
          <w:szCs w:val="17"/>
          <w:shd w:fill="B98A1F" w:val="clear"/>
        </w:rPr>
      </w:pPr>
      <w:r>
        <w:rPr>
          <w:bCs/>
          <w:color w:val="FFFFFF"/>
          <w:szCs w:val="17"/>
          <w:shd w:fill="B98A1F" w:val="clear"/>
          <w:rtl w:val="true"/>
        </w:rPr>
        <w:t>דף לימוד מוקל — בעברית פשוטה</w:t>
      </w:r>
    </w:p>
    <w:p>
      <w:pPr>
        <w:pStyle w:val="Heading1"/>
        <w:bidi w:val="1"/>
        <w:jc w:val="right"/>
        <w:rPr>
          <w:color w:val="FFFFFF"/>
          <w:shd w:fill="1F3A5F" w:val="clear"/>
        </w:rPr>
      </w:pPr>
      <w:r>
        <w:rPr>
          <w:color w:val="FFFFFF"/>
          <w:shd w:fill="1F3A5F" w:val="clear"/>
          <w:rtl w:val="true"/>
        </w:rPr>
        <w:t>המיעוטים בישראל</w:t>
      </w:r>
    </w:p>
    <w:p>
      <w:pPr>
        <w:pStyle w:val="TextBody"/>
        <w:bidi w:val="1"/>
        <w:jc w:val="right"/>
        <w:rPr/>
      </w:pPr>
      <w:r>
        <w:rPr>
          <w:bCs/>
          <w:rtl w:val="true"/>
        </w:rPr>
        <w:t>הדף הזה מסכם את כל הנושא במילים פשוטות</w:t>
      </w:r>
      <w:r>
        <w:rPr>
          <w:b/>
          <w:rtl w:val="true"/>
        </w:rPr>
        <w:t>.</w:t>
      </w:r>
      <w:r>
        <w:rPr>
          <w:rtl w:val="true"/>
        </w:rPr>
        <w:t xml:space="preserve"> </w:t>
      </w:r>
      <w:r>
        <w:rPr>
          <w:rtl w:val="true"/>
        </w:rPr>
        <w:t>קוראים לאט</w:t>
      </w:r>
      <w:r>
        <w:rPr>
          <w:rtl w:val="true"/>
        </w:rPr>
        <w:t xml:space="preserve">, </w:t>
      </w:r>
      <w:r>
        <w:rPr>
          <w:rtl w:val="true"/>
        </w:rPr>
        <w:t>חלק אחר חלק</w:t>
      </w:r>
      <w:r>
        <w:rPr>
          <w:rtl w:val="true"/>
        </w:rPr>
        <w:t xml:space="preserve">. </w:t>
      </w:r>
      <w:r>
        <w:rPr>
          <w:rtl w:val="true"/>
        </w:rPr>
        <w:t>אחרי כל חלק עוצרים ומספרים לעצמכם מה למדנו</w:t>
      </w:r>
      <w:r>
        <w:rPr>
          <w:rtl w:val="true"/>
        </w:rPr>
        <w:t>.</w:t>
      </w:r>
    </w:p>
    <w:p>
      <w:pPr>
        <w:pStyle w:val="Heading2unit"/>
        <w:bidi w:val="1"/>
        <w:spacing w:lineRule="auto" w:line="432"/>
        <w:jc w:val="right"/>
        <w:rPr>
          <w:szCs w:val="21"/>
        </w:rPr>
      </w:pPr>
      <w:r>
        <w:rPr>
          <w:szCs w:val="21"/>
          <w:rtl w:val="true"/>
        </w:rPr>
        <w:t>הנושא במבט כולל</w:t>
      </w:r>
    </w:p>
    <w:p>
      <w:pPr>
        <w:pStyle w:val="TextBody"/>
        <w:bidi w:val="1"/>
        <w:spacing w:lineRule="atLeast" w:line="300"/>
        <w:ind w:left="90" w:right="0" w:hanging="0"/>
        <w:jc w:val="center"/>
        <w:rPr/>
      </w:pPr>
      <w:r>
        <w:rPr>
          <w:b/>
          <w:color w:val="FFFFFF"/>
          <w:sz w:val="18"/>
          <w:shd w:fill="1F3A5F" w:val="clear"/>
        </w:rPr>
        <w:t>1</w:t>
      </w:r>
      <w:r>
        <w:rPr>
          <w:bCs/>
          <w:szCs w:val="21"/>
          <w:rtl w:val="true"/>
        </w:rPr>
        <w:t>המיעוטים בישראל</w:t>
      </w:r>
      <w:r>
        <w:rPr>
          <w:szCs w:val="21"/>
          <w:rtl w:val="true"/>
        </w:rPr>
        <w:t xml:space="preserve"> — ישראל מעניקה לכל אזרחיה זכויות פרט מלאות ושוות החוק אוסר אפליה בקבלה לעבודה על בסיס לאומי או דתי ישנה אפשרות נרחבת לביטוי תרבותי ודתי במרחב הציבורי ובהיבטים מוסדיים</w:t>
      </w:r>
      <w:r>
        <w:rPr>
          <w:sz w:val="21"/>
          <w:rtl w:val="true"/>
        </w:rPr>
        <w:t xml:space="preserve">. </w:t>
      </w:r>
      <w:r>
        <w:rPr>
          <w:szCs w:val="21"/>
          <w:rtl w:val="true"/>
        </w:rPr>
        <w:t>ימי המועד של המיעוטים מוכרים להם כימי חופשה</w:t>
      </w:r>
      <w:r>
        <w:rPr>
          <w:sz w:val="21"/>
          <w:rtl w:val="true"/>
        </w:rPr>
        <w:t xml:space="preserve">. </w:t>
      </w:r>
      <w:r>
        <w:rPr>
          <w:szCs w:val="21"/>
          <w:rtl w:val="true"/>
        </w:rPr>
        <w:t>בני העדות הלא יהודיות כפופים לשיפוט דתי על פי דתם בנושאי אישות למיעוטים קיימות מערכות חינוך נפרדות המנהלות בשפתם</w:t>
      </w:r>
      <w:r>
        <w:rPr>
          <w:sz w:val="21"/>
          <w:rtl w:val="true"/>
        </w:rPr>
        <w:t xml:space="preserve">, </w:t>
      </w:r>
      <w:r>
        <w:rPr>
          <w:szCs w:val="21"/>
          <w:rtl w:val="true"/>
        </w:rPr>
        <w:t>ומחנכות על פי תרבותם בתוכנית לימודים מיוחדת למגזר</w:t>
      </w:r>
      <w:r>
        <w:rPr>
          <w:sz w:val="21"/>
          <w:rtl w:val="true"/>
        </w:rPr>
        <w:t xml:space="preserve">. </w:t>
      </w:r>
      <w:r>
        <w:rPr>
          <w:sz w:val="21"/>
        </w:rPr>
        <w:t>2</w:t>
      </w:r>
      <w:r>
        <w:rPr>
          <w:sz w:val="21"/>
          <w:rtl w:val="true"/>
        </w:rPr>
        <w:t xml:space="preserve"> </w:t>
      </w:r>
      <w:r>
        <w:rPr>
          <w:szCs w:val="21"/>
          <w:rtl w:val="true"/>
        </w:rPr>
        <w:t>נאמנות למדינה הדרוזים נאמנים למדינה בה הם חיים וחלה עליהם על פי חוק חובת גיוס לצבא</w:t>
      </w:r>
      <w:r>
        <w:rPr>
          <w:sz w:val="21"/>
          <w:rtl w:val="true"/>
        </w:rPr>
        <w:t xml:space="preserve">. </w:t>
      </w:r>
      <w:r>
        <w:rPr>
          <w:sz w:val="21"/>
        </w:rPr>
        <w:t>83%</w:t>
      </w:r>
      <w:r>
        <w:rPr>
          <w:sz w:val="21"/>
          <w:rtl w:val="true"/>
        </w:rPr>
        <w:t xml:space="preserve"> </w:t>
      </w:r>
      <w:r>
        <w:rPr>
          <w:szCs w:val="21"/>
          <w:rtl w:val="true"/>
        </w:rPr>
        <w:t>מצעירי העדה מתגייסים לצה</w:t>
      </w:r>
      <w:r>
        <w:rPr>
          <w:sz w:val="21"/>
          <w:rtl w:val="true"/>
        </w:rPr>
        <w:t>"</w:t>
      </w:r>
      <w:r>
        <w:rPr>
          <w:szCs w:val="21"/>
          <w:rtl w:val="true"/>
        </w:rPr>
        <w:t>ל ורבים ממשיכים לשירות קבע</w:t>
      </w:r>
      <w:r>
        <w:rPr>
          <w:sz w:val="21"/>
          <w:rtl w:val="true"/>
        </w:rPr>
        <w:t xml:space="preserve">. </w:t>
      </w:r>
      <w:r>
        <w:rPr>
          <w:szCs w:val="21"/>
          <w:rtl w:val="true"/>
        </w:rPr>
        <w:t>נשות העדה פטורות משירות בצבא</w:t>
      </w:r>
    </w:p>
    <w:p>
      <w:pPr>
        <w:pStyle w:val="TextBody"/>
        <w:bidi w:val="1"/>
        <w:spacing w:lineRule="atLeast" w:line="300"/>
        <w:ind w:left="90" w:right="0" w:hanging="0"/>
        <w:jc w:val="center"/>
        <w:rPr/>
      </w:pPr>
      <w:r>
        <w:rPr>
          <w:b/>
          <w:color w:val="FFFFFF"/>
          <w:sz w:val="18"/>
          <w:shd w:fill="1F3A5F" w:val="clear"/>
        </w:rPr>
        <w:t>2</w:t>
      </w:r>
      <w:r>
        <w:rPr>
          <w:bCs/>
          <w:szCs w:val="21"/>
          <w:rtl w:val="true"/>
        </w:rPr>
        <w:t xml:space="preserve">המיעוטים בישראל </w:t>
      </w:r>
      <w:r>
        <w:rPr>
          <w:b/>
          <w:sz w:val="21"/>
          <w:rtl w:val="true"/>
        </w:rPr>
        <w:t xml:space="preserve">- </w:t>
      </w:r>
      <w:r>
        <w:rPr>
          <w:bCs/>
          <w:szCs w:val="21"/>
          <w:rtl w:val="true"/>
        </w:rPr>
        <w:t>המשך</w:t>
      </w:r>
      <w:r>
        <w:rPr>
          <w:szCs w:val="21"/>
          <w:rtl w:val="true"/>
        </w:rPr>
        <w:t xml:space="preserve"> — ביטויים למעמד המיעוטים במרחב הציבורי בישראל לשפה הערבית מעמד מיוחד במדינת ישראל </w:t>
      </w:r>
      <w:r>
        <w:rPr>
          <w:sz w:val="21"/>
          <w:rtl w:val="true"/>
        </w:rPr>
        <w:t>(</w:t>
      </w:r>
      <w:r>
        <w:rPr>
          <w:szCs w:val="21"/>
          <w:rtl w:val="true"/>
        </w:rPr>
        <w:t>חוק יסוד</w:t>
      </w:r>
      <w:r>
        <w:rPr>
          <w:sz w:val="21"/>
          <w:rtl w:val="true"/>
        </w:rPr>
        <w:t xml:space="preserve">: </w:t>
      </w:r>
      <w:r>
        <w:rPr>
          <w:szCs w:val="21"/>
          <w:rtl w:val="true"/>
        </w:rPr>
        <w:t>מדינת הלאום</w:t>
      </w:r>
      <w:r>
        <w:rPr>
          <w:sz w:val="21"/>
          <w:rtl w:val="true"/>
        </w:rPr>
        <w:t xml:space="preserve">, </w:t>
      </w:r>
      <w:r>
        <w:rPr>
          <w:sz w:val="21"/>
        </w:rPr>
        <w:t>2018</w:t>
      </w:r>
      <w:r>
        <w:rPr>
          <w:sz w:val="21"/>
          <w:rtl w:val="true"/>
        </w:rPr>
        <w:t xml:space="preserve">, </w:t>
      </w:r>
      <w:r>
        <w:rPr>
          <w:szCs w:val="21"/>
          <w:rtl w:val="true"/>
        </w:rPr>
        <w:t xml:space="preserve">סעיף </w:t>
      </w:r>
      <w:r>
        <w:rPr>
          <w:sz w:val="21"/>
        </w:rPr>
        <w:t>4</w:t>
      </w:r>
      <w:r>
        <w:rPr>
          <w:sz w:val="21"/>
          <w:rtl w:val="true"/>
        </w:rPr>
        <w:t xml:space="preserve">). </w:t>
      </w:r>
      <w:r>
        <w:rPr>
          <w:szCs w:val="21"/>
          <w:rtl w:val="true"/>
        </w:rPr>
        <w:t>בישראל קיימת מערכת חינוך ממלכתית ערבית למיעוטים בישראל יש ייצוג בדירקטוריונים וכן ברשויות שלטון כמו בית המשפט והכנסת במרחב המשותף למיעוטים יש אפשרות לקיים פולחן דתי בחקיקה בישראל קיימת התייחסות לאפשרות של מיעוטים לקבוע את יום השבתון שלהם ביום הקדוש להם</w:t>
      </w:r>
      <w:r>
        <w:rPr>
          <w:sz w:val="21"/>
          <w:rtl w:val="true"/>
        </w:rPr>
        <w:t xml:space="preserve">. </w:t>
      </w:r>
      <w:r>
        <w:rPr>
          <w:szCs w:val="21"/>
          <w:rtl w:val="true"/>
        </w:rPr>
        <w:t>קיימות אפשרויות נוספות</w:t>
      </w:r>
    </w:p>
    <w:p>
      <w:pPr>
        <w:pStyle w:val="TextBody"/>
        <w:bidi w:val="1"/>
        <w:spacing w:lineRule="atLeast" w:line="300"/>
        <w:ind w:left="90" w:right="0" w:hanging="0"/>
        <w:jc w:val="center"/>
        <w:rPr/>
      </w:pPr>
      <w:r>
        <w:rPr>
          <w:b/>
          <w:color w:val="FFFFFF"/>
          <w:sz w:val="18"/>
          <w:shd w:fill="1F3A5F" w:val="clear"/>
        </w:rPr>
        <w:t>3</w:t>
      </w:r>
      <w:r>
        <w:rPr>
          <w:bCs/>
          <w:szCs w:val="21"/>
          <w:rtl w:val="true"/>
        </w:rPr>
        <w:t xml:space="preserve">המיעוטים בישראל </w:t>
      </w:r>
      <w:r>
        <w:rPr>
          <w:b/>
          <w:sz w:val="21"/>
          <w:rtl w:val="true"/>
        </w:rPr>
        <w:t xml:space="preserve">- </w:t>
      </w:r>
      <w:r>
        <w:rPr>
          <w:bCs/>
          <w:szCs w:val="21"/>
          <w:rtl w:val="true"/>
        </w:rPr>
        <w:t>המשך</w:t>
      </w:r>
      <w:r>
        <w:rPr>
          <w:szCs w:val="21"/>
          <w:rtl w:val="true"/>
        </w:rPr>
        <w:t xml:space="preserve"> — הערכים חירות</w:t>
      </w:r>
      <w:r>
        <w:rPr>
          <w:sz w:val="21"/>
          <w:rtl w:val="true"/>
        </w:rPr>
        <w:t xml:space="preserve">, </w:t>
      </w:r>
      <w:r>
        <w:rPr>
          <w:szCs w:val="21"/>
          <w:rtl w:val="true"/>
        </w:rPr>
        <w:t>חופש דת</w:t>
      </w:r>
      <w:r>
        <w:rPr>
          <w:sz w:val="21"/>
          <w:rtl w:val="true"/>
        </w:rPr>
        <w:t xml:space="preserve">, </w:t>
      </w:r>
      <w:r>
        <w:rPr>
          <w:szCs w:val="21"/>
          <w:rtl w:val="true"/>
        </w:rPr>
        <w:t>חופש מצפון</w:t>
      </w:r>
      <w:r>
        <w:rPr>
          <w:sz w:val="21"/>
          <w:rtl w:val="true"/>
        </w:rPr>
        <w:t xml:space="preserve">, </w:t>
      </w:r>
      <w:r>
        <w:rPr>
          <w:szCs w:val="21"/>
          <w:rtl w:val="true"/>
        </w:rPr>
        <w:t>צדק ושוויון זכויות חברתי ומדיני לכל אזרחי המדינה ללא הבדל דת</w:t>
      </w:r>
      <w:r>
        <w:rPr>
          <w:sz w:val="21"/>
          <w:rtl w:val="true"/>
        </w:rPr>
        <w:t xml:space="preserve">, </w:t>
      </w:r>
      <w:r>
        <w:rPr>
          <w:szCs w:val="21"/>
          <w:rtl w:val="true"/>
        </w:rPr>
        <w:t>גזע ומין</w:t>
      </w:r>
      <w:r>
        <w:rPr>
          <w:sz w:val="21"/>
          <w:rtl w:val="true"/>
        </w:rPr>
        <w:t xml:space="preserve">. </w:t>
      </w:r>
      <w:r>
        <w:rPr>
          <w:szCs w:val="21"/>
          <w:rtl w:val="true"/>
        </w:rPr>
        <w:t>האזרחים הערבים לומדים במערכת החינוך בשפה הערבית ושומרים על ייחודם בתחום התרבותי והדתי</w:t>
      </w:r>
      <w:r>
        <w:rPr>
          <w:sz w:val="21"/>
          <w:rtl w:val="true"/>
        </w:rPr>
        <w:t xml:space="preserve">. </w:t>
      </w:r>
      <w:r>
        <w:rPr>
          <w:szCs w:val="21"/>
          <w:rtl w:val="true"/>
        </w:rPr>
        <w:t>מקור</w:t>
      </w:r>
      <w:r>
        <w:rPr>
          <w:sz w:val="21"/>
          <w:rtl w:val="true"/>
        </w:rPr>
        <w:t xml:space="preserve">: </w:t>
      </w:r>
      <w:r>
        <w:rPr>
          <w:szCs w:val="21"/>
          <w:rtl w:val="true"/>
        </w:rPr>
        <w:t>משרד החינוך</w:t>
      </w:r>
      <w:r>
        <w:rPr>
          <w:sz w:val="21"/>
          <w:rtl w:val="true"/>
        </w:rPr>
        <w:t xml:space="preserve">, </w:t>
      </w:r>
      <w:r>
        <w:rPr>
          <w:sz w:val="21"/>
        </w:rPr>
        <w:t>meyda.education.gov.il/files/Mazkirut_Pedagogit/ezrachut/madal2.pdf 2</w:t>
      </w:r>
      <w:r>
        <w:rPr>
          <w:sz w:val="21"/>
          <w:rtl w:val="true"/>
        </w:rPr>
        <w:t xml:space="preserve"> </w:t>
      </w:r>
      <w:r>
        <w:rPr>
          <w:szCs w:val="21"/>
          <w:rtl w:val="true"/>
        </w:rPr>
        <w:t xml:space="preserve">תכנית החלוקה – החלטה </w:t>
      </w:r>
      <w:r>
        <w:rPr>
          <w:sz w:val="21"/>
        </w:rPr>
        <w:t>181</w:t>
      </w:r>
      <w:r>
        <w:rPr>
          <w:sz w:val="21"/>
          <w:rtl w:val="true"/>
        </w:rPr>
        <w:t xml:space="preserve"> </w:t>
      </w:r>
      <w:r>
        <w:rPr>
          <w:szCs w:val="21"/>
          <w:rtl w:val="true"/>
        </w:rPr>
        <w:t>של האו</w:t>
      </w:r>
      <w:r>
        <w:rPr>
          <w:sz w:val="21"/>
          <w:rtl w:val="true"/>
        </w:rPr>
        <w:t>"</w:t>
      </w:r>
      <w:r>
        <w:rPr>
          <w:szCs w:val="21"/>
          <w:rtl w:val="true"/>
        </w:rPr>
        <w:t xml:space="preserve">ם תכנית החלוקה – החלטה </w:t>
      </w:r>
      <w:r>
        <w:rPr>
          <w:sz w:val="21"/>
        </w:rPr>
        <w:t>181</w:t>
      </w:r>
      <w:r>
        <w:rPr>
          <w:sz w:val="21"/>
          <w:rtl w:val="true"/>
        </w:rPr>
        <w:t xml:space="preserve"> </w:t>
      </w:r>
      <w:r>
        <w:rPr>
          <w:szCs w:val="21"/>
          <w:rtl w:val="true"/>
        </w:rPr>
        <w:t xml:space="preserve">של האו״ם היא החלטת עצרת האו״ם מכ״ט בנובמבר </w:t>
      </w:r>
      <w:r>
        <w:rPr>
          <w:sz w:val="21"/>
        </w:rPr>
        <w:t>1947</w:t>
      </w:r>
      <w:r>
        <w:rPr>
          <w:sz w:val="21"/>
          <w:rtl w:val="true"/>
        </w:rPr>
        <w:t xml:space="preserve"> (</w:t>
      </w:r>
      <w:r>
        <w:rPr>
          <w:sz w:val="21"/>
        </w:rPr>
        <w:t>29.11.47</w:t>
      </w:r>
      <w:r>
        <w:rPr>
          <w:sz w:val="21"/>
          <w:rtl w:val="true"/>
        </w:rPr>
        <w:t xml:space="preserve">) </w:t>
      </w:r>
      <w:r>
        <w:rPr>
          <w:szCs w:val="21"/>
          <w:rtl w:val="true"/>
        </w:rPr>
        <w:t>על פי החלטה זו</w:t>
      </w:r>
      <w:r>
        <w:rPr>
          <w:sz w:val="21"/>
          <w:rtl w:val="true"/>
        </w:rPr>
        <w:t xml:space="preserve">, </w:t>
      </w:r>
      <w:r>
        <w:rPr>
          <w:szCs w:val="21"/>
          <w:rtl w:val="true"/>
        </w:rPr>
        <w:t>יש להקים בתוך החלק שנותר מן המנדט בארץ ישראל המערבית</w:t>
      </w:r>
      <w:r>
        <w:rPr>
          <w:sz w:val="21"/>
          <w:rtl w:val="true"/>
        </w:rPr>
        <w:t xml:space="preserve">, </w:t>
      </w:r>
      <w:r>
        <w:rPr>
          <w:szCs w:val="21"/>
          <w:rtl w:val="true"/>
        </w:rPr>
        <w:t>מדינה יהודית ומדינה ערבית</w:t>
      </w:r>
      <w:r>
        <w:rPr>
          <w:sz w:val="21"/>
          <w:rtl w:val="true"/>
        </w:rPr>
        <w:t xml:space="preserve">. </w:t>
      </w:r>
      <w:r>
        <w:rPr>
          <w:szCs w:val="21"/>
          <w:rtl w:val="true"/>
        </w:rPr>
        <w:t xml:space="preserve">בעקבות החלטה </w:t>
      </w:r>
      <w:r>
        <w:rPr>
          <w:sz w:val="21"/>
        </w:rPr>
        <w:t>181</w:t>
      </w:r>
      <w:r>
        <w:rPr>
          <w:sz w:val="21"/>
          <w:rtl w:val="true"/>
        </w:rPr>
        <w:t xml:space="preserve">, </w:t>
      </w:r>
      <w:r>
        <w:rPr>
          <w:szCs w:val="21"/>
          <w:rtl w:val="true"/>
        </w:rPr>
        <w:t>ההנהגה היהודית קבלה את התכנית</w:t>
      </w:r>
      <w:r>
        <w:rPr>
          <w:sz w:val="21"/>
          <w:rtl w:val="true"/>
        </w:rPr>
        <w:t>.</w:t>
      </w:r>
    </w:p>
    <w:p>
      <w:pPr>
        <w:pStyle w:val="TextBody"/>
        <w:bidi w:val="1"/>
        <w:spacing w:lineRule="atLeast" w:line="300"/>
        <w:ind w:left="90" w:right="0" w:hanging="0"/>
        <w:jc w:val="center"/>
        <w:rPr/>
      </w:pPr>
      <w:r>
        <w:rPr>
          <w:b/>
          <w:color w:val="FFFFFF"/>
          <w:sz w:val="18"/>
          <w:shd w:fill="1F3A5F" w:val="clear"/>
        </w:rPr>
        <w:t>4</w:t>
      </w:r>
      <w:r>
        <w:rPr>
          <w:bCs/>
          <w:szCs w:val="21"/>
          <w:rtl w:val="true"/>
        </w:rPr>
        <w:t xml:space="preserve">המיעוטים בישראל </w:t>
      </w:r>
      <w:r>
        <w:rPr>
          <w:b/>
          <w:sz w:val="21"/>
          <w:rtl w:val="true"/>
        </w:rPr>
        <w:t xml:space="preserve">- </w:t>
      </w:r>
      <w:r>
        <w:rPr>
          <w:bCs/>
          <w:szCs w:val="21"/>
          <w:rtl w:val="true"/>
        </w:rPr>
        <w:t>המשך</w:t>
      </w:r>
      <w:r>
        <w:rPr>
          <w:szCs w:val="21"/>
          <w:rtl w:val="true"/>
        </w:rPr>
        <w:t xml:space="preserve"> — המיעוט הערבי בישראל כ</w:t>
      </w:r>
      <w:r>
        <w:rPr>
          <w:sz w:val="21"/>
          <w:rtl w:val="true"/>
        </w:rPr>
        <w:t>-</w:t>
      </w:r>
      <w:r>
        <w:rPr>
          <w:sz w:val="21"/>
        </w:rPr>
        <w:t>20%</w:t>
      </w:r>
      <w:r>
        <w:rPr>
          <w:sz w:val="21"/>
          <w:rtl w:val="true"/>
        </w:rPr>
        <w:t xml:space="preserve"> </w:t>
      </w:r>
      <w:r>
        <w:rPr>
          <w:szCs w:val="21"/>
          <w:rtl w:val="true"/>
        </w:rPr>
        <w:t>מאזרחי המדינה</w:t>
      </w:r>
      <w:r>
        <w:rPr>
          <w:sz w:val="21"/>
          <w:rtl w:val="true"/>
        </w:rPr>
        <w:t xml:space="preserve">; </w:t>
      </w:r>
      <w:r>
        <w:rPr>
          <w:szCs w:val="21"/>
          <w:rtl w:val="true"/>
        </w:rPr>
        <w:t>מיעוט לאומי</w:t>
      </w:r>
      <w:r>
        <w:rPr>
          <w:sz w:val="21"/>
          <w:rtl w:val="true"/>
        </w:rPr>
        <w:t>-</w:t>
      </w:r>
      <w:r>
        <w:rPr>
          <w:szCs w:val="21"/>
          <w:rtl w:val="true"/>
        </w:rPr>
        <w:t>פולחני בעל שפה</w:t>
      </w:r>
      <w:r>
        <w:rPr>
          <w:sz w:val="21"/>
          <w:rtl w:val="true"/>
        </w:rPr>
        <w:t xml:space="preserve">, </w:t>
      </w:r>
      <w:r>
        <w:rPr>
          <w:szCs w:val="21"/>
          <w:rtl w:val="true"/>
        </w:rPr>
        <w:t>תרבות וזהות לאומית נפרדות</w:t>
      </w:r>
      <w:r>
        <w:rPr>
          <w:sz w:val="21"/>
          <w:rtl w:val="true"/>
        </w:rPr>
        <w:t xml:space="preserve">. </w:t>
      </w:r>
      <w:r>
        <w:rPr>
          <w:szCs w:val="21"/>
          <w:rtl w:val="true"/>
        </w:rPr>
        <w:t xml:space="preserve">חלקו במשאבי המדינה ובמשרות הציבוריות נמוך מחלקו באוכלוסייה </w:t>
      </w:r>
      <w:r>
        <w:rPr>
          <w:sz w:val="21"/>
          <w:rtl w:val="true"/>
        </w:rPr>
        <w:t xml:space="preserve">- </w:t>
      </w:r>
      <w:r>
        <w:rPr>
          <w:szCs w:val="21"/>
          <w:rtl w:val="true"/>
        </w:rPr>
        <w:t>פערים הדורשים מדיניות מתקנת</w:t>
      </w:r>
      <w:r>
        <w:rPr>
          <w:sz w:val="21"/>
          <w:rtl w:val="true"/>
        </w:rPr>
        <w:t xml:space="preserve">. </w:t>
      </w:r>
      <w:r>
        <w:rPr>
          <w:sz w:val="21"/>
        </w:rPr>
        <w:t>2</w:t>
      </w:r>
      <w:r>
        <w:rPr>
          <w:sz w:val="21"/>
          <w:rtl w:val="true"/>
        </w:rPr>
        <w:t xml:space="preserve"> </w:t>
      </w:r>
      <w:r>
        <w:rPr>
          <w:szCs w:val="21"/>
          <w:rtl w:val="true"/>
        </w:rPr>
        <w:t>זכויות המיעוטים זכויות אישיות</w:t>
      </w:r>
      <w:r>
        <w:rPr>
          <w:sz w:val="21"/>
          <w:rtl w:val="true"/>
        </w:rPr>
        <w:t xml:space="preserve">: </w:t>
      </w:r>
      <w:r>
        <w:rPr>
          <w:szCs w:val="21"/>
          <w:rtl w:val="true"/>
        </w:rPr>
        <w:t>שוויון בפני החוק</w:t>
      </w:r>
      <w:r>
        <w:rPr>
          <w:sz w:val="21"/>
          <w:rtl w:val="true"/>
        </w:rPr>
        <w:t xml:space="preserve">, </w:t>
      </w:r>
      <w:r>
        <w:rPr>
          <w:szCs w:val="21"/>
          <w:rtl w:val="true"/>
        </w:rPr>
        <w:t>זכויות אדם וחירויות פרט לכל אזרח</w:t>
      </w:r>
      <w:r>
        <w:rPr>
          <w:sz w:val="21"/>
          <w:rtl w:val="true"/>
        </w:rPr>
        <w:t xml:space="preserve">. </w:t>
      </w:r>
      <w:r>
        <w:rPr>
          <w:szCs w:val="21"/>
          <w:rtl w:val="true"/>
        </w:rPr>
        <w:t>זכויות קבוצתיות</w:t>
      </w:r>
      <w:r>
        <w:rPr>
          <w:sz w:val="21"/>
          <w:rtl w:val="true"/>
        </w:rPr>
        <w:t>-</w:t>
      </w:r>
      <w:r>
        <w:rPr>
          <w:szCs w:val="21"/>
          <w:rtl w:val="true"/>
        </w:rPr>
        <w:t>תרבותיות</w:t>
      </w:r>
      <w:r>
        <w:rPr>
          <w:sz w:val="21"/>
          <w:rtl w:val="true"/>
        </w:rPr>
        <w:t xml:space="preserve">: </w:t>
      </w:r>
      <w:r>
        <w:rPr>
          <w:szCs w:val="21"/>
          <w:rtl w:val="true"/>
        </w:rPr>
        <w:t>שפה</w:t>
      </w:r>
      <w:r>
        <w:rPr>
          <w:sz w:val="21"/>
          <w:rtl w:val="true"/>
        </w:rPr>
        <w:t xml:space="preserve">, </w:t>
      </w:r>
      <w:r>
        <w:rPr>
          <w:szCs w:val="21"/>
          <w:rtl w:val="true"/>
        </w:rPr>
        <w:t>חינוך עצמאי</w:t>
      </w:r>
      <w:r>
        <w:rPr>
          <w:sz w:val="21"/>
          <w:rtl w:val="true"/>
        </w:rPr>
        <w:t xml:space="preserve">, </w:t>
      </w:r>
      <w:r>
        <w:rPr>
          <w:szCs w:val="21"/>
          <w:rtl w:val="true"/>
        </w:rPr>
        <w:t xml:space="preserve">מעמד דתי </w:t>
      </w:r>
      <w:r>
        <w:rPr>
          <w:sz w:val="21"/>
          <w:rtl w:val="true"/>
        </w:rPr>
        <w:t>(</w:t>
      </w:r>
      <w:r>
        <w:rPr>
          <w:szCs w:val="21"/>
          <w:rtl w:val="true"/>
        </w:rPr>
        <w:t>מילט</w:t>
      </w:r>
      <w:r>
        <w:rPr>
          <w:sz w:val="21"/>
          <w:rtl w:val="true"/>
        </w:rPr>
        <w:t xml:space="preserve">), </w:t>
      </w:r>
      <w:r>
        <w:rPr>
          <w:szCs w:val="21"/>
          <w:rtl w:val="true"/>
        </w:rPr>
        <w:t>שמירת מסורת</w:t>
      </w:r>
      <w:r>
        <w:rPr>
          <w:sz w:val="21"/>
          <w:rtl w:val="true"/>
        </w:rPr>
        <w:t xml:space="preserve">. </w:t>
      </w:r>
      <w:r>
        <w:rPr>
          <w:szCs w:val="21"/>
          <w:rtl w:val="true"/>
        </w:rPr>
        <w:t>זכויות פוליטיות</w:t>
      </w:r>
      <w:r>
        <w:rPr>
          <w:sz w:val="21"/>
          <w:rtl w:val="true"/>
        </w:rPr>
        <w:t xml:space="preserve">: </w:t>
      </w:r>
      <w:r>
        <w:rPr>
          <w:szCs w:val="21"/>
          <w:rtl w:val="true"/>
        </w:rPr>
        <w:t>ייצוג בכנסת ובשלטון המקומי</w:t>
      </w:r>
      <w:r>
        <w:rPr>
          <w:sz w:val="21"/>
          <w:rtl w:val="true"/>
        </w:rPr>
        <w:t xml:space="preserve">, </w:t>
      </w:r>
      <w:r>
        <w:rPr>
          <w:szCs w:val="21"/>
          <w:rtl w:val="true"/>
        </w:rPr>
        <w:t>השתתפות בהכרעות הנוגעות לקבוצה</w:t>
      </w:r>
      <w:r>
        <w:rPr>
          <w:sz w:val="21"/>
          <w:rtl w:val="true"/>
        </w:rPr>
        <w:t>.</w:t>
      </w:r>
    </w:p>
    <w:p>
      <w:pPr>
        <w:pStyle w:val="TextBody"/>
        <w:bidi w:val="1"/>
        <w:spacing w:lineRule="atLeast" w:line="300"/>
        <w:ind w:left="90" w:right="0" w:hanging="0"/>
        <w:jc w:val="center"/>
        <w:rPr/>
      </w:pPr>
      <w:r>
        <w:rPr>
          <w:b/>
          <w:color w:val="FFFFFF"/>
          <w:sz w:val="18"/>
          <w:shd w:fill="1F3A5F" w:val="clear"/>
        </w:rPr>
        <w:t>5</w:t>
      </w:r>
      <w:r>
        <w:rPr>
          <w:bCs/>
          <w:szCs w:val="21"/>
          <w:rtl w:val="true"/>
        </w:rPr>
        <w:t xml:space="preserve">המיעוטים בישראל </w:t>
      </w:r>
      <w:r>
        <w:rPr>
          <w:b/>
          <w:sz w:val="21"/>
          <w:rtl w:val="true"/>
        </w:rPr>
        <w:t xml:space="preserve">- </w:t>
      </w:r>
      <w:r>
        <w:rPr>
          <w:bCs/>
          <w:szCs w:val="21"/>
          <w:rtl w:val="true"/>
        </w:rPr>
        <w:t>המשך</w:t>
      </w:r>
      <w:r>
        <w:rPr>
          <w:szCs w:val="21"/>
          <w:rtl w:val="true"/>
        </w:rPr>
        <w:t xml:space="preserve"> — מנגנוני הגנה על המיעוט חקיקה </w:t>
      </w:r>
      <w:r>
        <w:rPr>
          <w:sz w:val="21"/>
          <w:rtl w:val="true"/>
        </w:rPr>
        <w:t>(</w:t>
      </w:r>
      <w:r>
        <w:rPr>
          <w:szCs w:val="21"/>
          <w:rtl w:val="true"/>
        </w:rPr>
        <w:t>חוקי יסוד</w:t>
      </w:r>
      <w:r>
        <w:rPr>
          <w:sz w:val="21"/>
          <w:rtl w:val="true"/>
        </w:rPr>
        <w:t xml:space="preserve">, </w:t>
      </w:r>
      <w:r>
        <w:rPr>
          <w:szCs w:val="21"/>
          <w:rtl w:val="true"/>
        </w:rPr>
        <w:t>חוק שוויון הזדמנויות בעבודה</w:t>
      </w:r>
      <w:r>
        <w:rPr>
          <w:sz w:val="21"/>
          <w:rtl w:val="true"/>
        </w:rPr>
        <w:t xml:space="preserve">), </w:t>
      </w:r>
      <w:r>
        <w:rPr>
          <w:szCs w:val="21"/>
          <w:rtl w:val="true"/>
        </w:rPr>
        <w:t xml:space="preserve">פסיקה </w:t>
      </w:r>
      <w:r>
        <w:rPr>
          <w:sz w:val="21"/>
          <w:rtl w:val="true"/>
        </w:rPr>
        <w:t>(</w:t>
      </w:r>
      <w:r>
        <w:rPr>
          <w:szCs w:val="21"/>
          <w:rtl w:val="true"/>
        </w:rPr>
        <w:t>בג</w:t>
      </w:r>
      <w:r>
        <w:rPr>
          <w:sz w:val="21"/>
          <w:rtl w:val="true"/>
        </w:rPr>
        <w:t>"</w:t>
      </w:r>
      <w:r>
        <w:rPr>
          <w:szCs w:val="21"/>
          <w:rtl w:val="true"/>
        </w:rPr>
        <w:t>ץ</w:t>
      </w:r>
      <w:r>
        <w:rPr>
          <w:sz w:val="21"/>
          <w:rtl w:val="true"/>
        </w:rPr>
        <w:t xml:space="preserve">), </w:t>
      </w:r>
      <w:r>
        <w:rPr>
          <w:szCs w:val="21"/>
          <w:rtl w:val="true"/>
        </w:rPr>
        <w:t>העדפה מתקנת ושילוב</w:t>
      </w:r>
      <w:r>
        <w:rPr>
          <w:sz w:val="21"/>
          <w:rtl w:val="true"/>
        </w:rPr>
        <w:t xml:space="preserve">. </w:t>
      </w:r>
      <w:r>
        <w:rPr>
          <w:szCs w:val="21"/>
          <w:rtl w:val="true"/>
        </w:rPr>
        <w:t>איזון בין זכות הרוב להכריע לבין חובת הרוב לשמור על זכויות המיעוט</w:t>
      </w:r>
      <w:r>
        <w:rPr>
          <w:sz w:val="21"/>
          <w:rtl w:val="true"/>
        </w:rPr>
        <w:t xml:space="preserve">. </w:t>
      </w:r>
      <w:r>
        <w:rPr>
          <w:sz w:val="21"/>
        </w:rPr>
        <w:t>2</w:t>
      </w:r>
      <w:r>
        <w:rPr>
          <w:sz w:val="21"/>
          <w:rtl w:val="true"/>
        </w:rPr>
        <w:t xml:space="preserve"> </w:t>
      </w:r>
      <w:r>
        <w:rPr>
          <w:szCs w:val="21"/>
          <w:rtl w:val="true"/>
        </w:rPr>
        <w:t>מגזרים ומיעוטים בישראל המיעוט הערבי</w:t>
      </w:r>
      <w:r>
        <w:rPr>
          <w:sz w:val="21"/>
          <w:rtl w:val="true"/>
        </w:rPr>
        <w:t xml:space="preserve">: </w:t>
      </w:r>
      <w:r>
        <w:rPr>
          <w:szCs w:val="21"/>
          <w:rtl w:val="true"/>
        </w:rPr>
        <w:t>מוסלמים</w:t>
      </w:r>
      <w:r>
        <w:rPr>
          <w:sz w:val="21"/>
          <w:rtl w:val="true"/>
        </w:rPr>
        <w:t xml:space="preserve">, </w:t>
      </w:r>
      <w:r>
        <w:rPr>
          <w:szCs w:val="21"/>
          <w:rtl w:val="true"/>
        </w:rPr>
        <w:t xml:space="preserve">נוצרים ודרוזים </w:t>
      </w:r>
      <w:r>
        <w:rPr>
          <w:sz w:val="21"/>
          <w:rtl w:val="true"/>
        </w:rPr>
        <w:t xml:space="preserve">- </w:t>
      </w:r>
      <w:r>
        <w:rPr>
          <w:szCs w:val="21"/>
          <w:rtl w:val="true"/>
        </w:rPr>
        <w:t>כ</w:t>
      </w:r>
      <w:r>
        <w:rPr>
          <w:sz w:val="21"/>
          <w:rtl w:val="true"/>
        </w:rPr>
        <w:t>-</w:t>
      </w:r>
      <w:r>
        <w:rPr>
          <w:sz w:val="21"/>
        </w:rPr>
        <w:t>20%</w:t>
      </w:r>
      <w:r>
        <w:rPr>
          <w:sz w:val="21"/>
          <w:rtl w:val="true"/>
        </w:rPr>
        <w:t xml:space="preserve"> </w:t>
      </w:r>
      <w:r>
        <w:rPr>
          <w:szCs w:val="21"/>
          <w:rtl w:val="true"/>
        </w:rPr>
        <w:t>מהאוכלוסייה</w:t>
      </w:r>
      <w:r>
        <w:rPr>
          <w:sz w:val="21"/>
          <w:rtl w:val="true"/>
        </w:rPr>
        <w:t xml:space="preserve">. </w:t>
      </w:r>
      <w:r>
        <w:rPr>
          <w:szCs w:val="21"/>
          <w:rtl w:val="true"/>
        </w:rPr>
        <w:t>מיעוטים נוספים</w:t>
      </w:r>
      <w:r>
        <w:rPr>
          <w:sz w:val="21"/>
          <w:rtl w:val="true"/>
        </w:rPr>
        <w:t xml:space="preserve">: </w:t>
      </w:r>
      <w:r>
        <w:rPr>
          <w:szCs w:val="21"/>
          <w:rtl w:val="true"/>
        </w:rPr>
        <w:t>חרדים</w:t>
      </w:r>
      <w:r>
        <w:rPr>
          <w:sz w:val="21"/>
          <w:rtl w:val="true"/>
        </w:rPr>
        <w:t xml:space="preserve">, </w:t>
      </w:r>
      <w:r>
        <w:rPr>
          <w:szCs w:val="21"/>
          <w:rtl w:val="true"/>
        </w:rPr>
        <w:t xml:space="preserve">אתיופים ועולים חדשים </w:t>
      </w:r>
      <w:r>
        <w:rPr>
          <w:sz w:val="21"/>
          <w:rtl w:val="true"/>
        </w:rPr>
        <w:t xml:space="preserve">- </w:t>
      </w:r>
      <w:r>
        <w:rPr>
          <w:szCs w:val="21"/>
          <w:rtl w:val="true"/>
        </w:rPr>
        <w:t>כל קבוצה עם צרכים וזכויות ייחודיים</w:t>
      </w:r>
      <w:r>
        <w:rPr>
          <w:sz w:val="21"/>
          <w:rtl w:val="true"/>
        </w:rPr>
        <w:t>.</w:t>
      </w:r>
    </w:p>
    <w:p>
      <w:pPr>
        <w:pStyle w:val="TextBody"/>
        <w:bidi w:val="1"/>
        <w:spacing w:lineRule="atLeast" w:line="300"/>
        <w:ind w:left="90" w:right="0" w:hanging="0"/>
        <w:jc w:val="center"/>
        <w:rPr/>
      </w:pPr>
      <w:r>
        <w:rPr>
          <w:b/>
          <w:color w:val="FFFFFF"/>
          <w:sz w:val="18"/>
          <w:shd w:fill="1F3A5F" w:val="clear"/>
        </w:rPr>
        <w:t>6</w:t>
      </w:r>
      <w:r>
        <w:rPr>
          <w:bCs/>
          <w:szCs w:val="21"/>
          <w:rtl w:val="true"/>
        </w:rPr>
        <w:t xml:space="preserve">המיעוטים בישראל </w:t>
      </w:r>
      <w:r>
        <w:rPr>
          <w:b/>
          <w:sz w:val="21"/>
          <w:rtl w:val="true"/>
        </w:rPr>
        <w:t xml:space="preserve">- </w:t>
      </w:r>
      <w:r>
        <w:rPr>
          <w:bCs/>
          <w:szCs w:val="21"/>
          <w:rtl w:val="true"/>
        </w:rPr>
        <w:t>המשך</w:t>
      </w:r>
      <w:r>
        <w:rPr>
          <w:szCs w:val="21"/>
          <w:rtl w:val="true"/>
        </w:rPr>
        <w:t xml:space="preserve"> — המצב בישראל זכויות המיעוט הערבי</w:t>
      </w:r>
      <w:r>
        <w:rPr>
          <w:sz w:val="21"/>
          <w:rtl w:val="true"/>
        </w:rPr>
        <w:t xml:space="preserve">: </w:t>
      </w:r>
      <w:r>
        <w:rPr>
          <w:szCs w:val="21"/>
          <w:rtl w:val="true"/>
        </w:rPr>
        <w:t>ייצוג בכנסת</w:t>
      </w:r>
      <w:r>
        <w:rPr>
          <w:sz w:val="21"/>
          <w:rtl w:val="true"/>
        </w:rPr>
        <w:t xml:space="preserve">, </w:t>
      </w:r>
      <w:r>
        <w:rPr>
          <w:szCs w:val="21"/>
          <w:rtl w:val="true"/>
        </w:rPr>
        <w:t xml:space="preserve">שפה ערבית </w:t>
      </w:r>
      <w:r>
        <w:rPr>
          <w:sz w:val="21"/>
          <w:rtl w:val="true"/>
        </w:rPr>
        <w:t>(</w:t>
      </w:r>
      <w:r>
        <w:rPr>
          <w:szCs w:val="21"/>
          <w:rtl w:val="true"/>
        </w:rPr>
        <w:t>מעמד מיוחד</w:t>
      </w:r>
      <w:r>
        <w:rPr>
          <w:sz w:val="21"/>
          <w:rtl w:val="true"/>
        </w:rPr>
        <w:t xml:space="preserve">), </w:t>
      </w:r>
      <w:r>
        <w:rPr>
          <w:szCs w:val="21"/>
          <w:rtl w:val="true"/>
        </w:rPr>
        <w:t>מערכת חינוך נפרדת</w:t>
      </w:r>
      <w:r>
        <w:rPr>
          <w:sz w:val="21"/>
          <w:rtl w:val="true"/>
        </w:rPr>
        <w:t xml:space="preserve">, </w:t>
      </w:r>
      <w:r>
        <w:rPr>
          <w:szCs w:val="21"/>
          <w:rtl w:val="true"/>
        </w:rPr>
        <w:t>מעמד אישי דתי</w:t>
      </w:r>
      <w:r>
        <w:rPr>
          <w:sz w:val="21"/>
          <w:rtl w:val="true"/>
        </w:rPr>
        <w:t xml:space="preserve">. </w:t>
      </w:r>
      <w:r>
        <w:rPr>
          <w:szCs w:val="21"/>
          <w:rtl w:val="true"/>
        </w:rPr>
        <w:t>פערים</w:t>
      </w:r>
      <w:r>
        <w:rPr>
          <w:sz w:val="21"/>
          <w:rtl w:val="true"/>
        </w:rPr>
        <w:t xml:space="preserve">: </w:t>
      </w:r>
      <w:r>
        <w:rPr>
          <w:szCs w:val="21"/>
          <w:rtl w:val="true"/>
        </w:rPr>
        <w:t>תקצוב</w:t>
      </w:r>
      <w:r>
        <w:rPr>
          <w:sz w:val="21"/>
          <w:rtl w:val="true"/>
        </w:rPr>
        <w:t xml:space="preserve">, </w:t>
      </w:r>
      <w:r>
        <w:rPr>
          <w:szCs w:val="21"/>
          <w:rtl w:val="true"/>
        </w:rPr>
        <w:t>תשתיות</w:t>
      </w:r>
      <w:r>
        <w:rPr>
          <w:sz w:val="21"/>
          <w:rtl w:val="true"/>
        </w:rPr>
        <w:t xml:space="preserve">, </w:t>
      </w:r>
      <w:r>
        <w:rPr>
          <w:szCs w:val="21"/>
          <w:rtl w:val="true"/>
        </w:rPr>
        <w:t>משרות ציבוריות</w:t>
      </w:r>
      <w:r>
        <w:rPr>
          <w:sz w:val="21"/>
          <w:rtl w:val="true"/>
        </w:rPr>
        <w:t xml:space="preserve">. </w:t>
      </w:r>
      <w:r>
        <w:rPr>
          <w:szCs w:val="21"/>
          <w:rtl w:val="true"/>
        </w:rPr>
        <w:t>מגמות שילוב</w:t>
      </w:r>
      <w:r>
        <w:rPr>
          <w:sz w:val="21"/>
          <w:rtl w:val="true"/>
        </w:rPr>
        <w:t xml:space="preserve">: </w:t>
      </w:r>
      <w:r>
        <w:rPr>
          <w:szCs w:val="21"/>
          <w:rtl w:val="true"/>
        </w:rPr>
        <w:t>העדפה מתקנת</w:t>
      </w:r>
      <w:r>
        <w:rPr>
          <w:sz w:val="21"/>
          <w:rtl w:val="true"/>
        </w:rPr>
        <w:t xml:space="preserve">, </w:t>
      </w:r>
      <w:r>
        <w:rPr>
          <w:szCs w:val="21"/>
          <w:rtl w:val="true"/>
        </w:rPr>
        <w:t>תוכניות חומש</w:t>
      </w:r>
      <w:r>
        <w:rPr>
          <w:sz w:val="21"/>
          <w:rtl w:val="true"/>
        </w:rPr>
        <w:t xml:space="preserve">, </w:t>
      </w:r>
      <w:r>
        <w:rPr>
          <w:szCs w:val="21"/>
          <w:rtl w:val="true"/>
        </w:rPr>
        <w:t>ייצוג הולך וגדל בפוליטיקה</w:t>
      </w:r>
      <w:r>
        <w:rPr>
          <w:sz w:val="21"/>
          <w:rtl w:val="true"/>
        </w:rPr>
        <w:t xml:space="preserve">. </w:t>
      </w:r>
      <w:r>
        <w:rPr>
          <w:sz w:val="21"/>
        </w:rPr>
        <w:t>2</w:t>
      </w:r>
      <w:r>
        <w:rPr>
          <w:sz w:val="21"/>
          <w:rtl w:val="true"/>
        </w:rPr>
        <w:t xml:space="preserve"> </w:t>
      </w:r>
      <w:r>
        <w:rPr>
          <w:szCs w:val="21"/>
          <w:rtl w:val="true"/>
        </w:rPr>
        <w:t xml:space="preserve">מושגי מפתח לחזרה ישראל מעניקה לכל אזרחיה זכויות פרט מלאות ושוות נאמנות למדינה ביטויים למעמד המיעוטים במרחב הציבורי בישראל תכנית החלוקה – החלטה </w:t>
      </w:r>
      <w:r>
        <w:rPr>
          <w:sz w:val="21"/>
        </w:rPr>
        <w:t>181</w:t>
      </w:r>
      <w:r>
        <w:rPr>
          <w:sz w:val="21"/>
          <w:rtl w:val="true"/>
        </w:rPr>
        <w:t xml:space="preserve"> </w:t>
      </w:r>
      <w:r>
        <w:rPr>
          <w:szCs w:val="21"/>
          <w:rtl w:val="true"/>
        </w:rPr>
        <w:t>של האו</w:t>
      </w:r>
      <w:r>
        <w:rPr>
          <w:sz w:val="21"/>
          <w:rtl w:val="true"/>
        </w:rPr>
        <w:t>"</w:t>
      </w:r>
      <w:r>
        <w:rPr>
          <w:szCs w:val="21"/>
          <w:rtl w:val="true"/>
        </w:rPr>
        <w:t>ם</w:t>
      </w:r>
    </w:p>
    <w:p>
      <w:pPr>
        <w:pStyle w:val="TextBody"/>
        <w:bidi w:val="1"/>
        <w:spacing w:lineRule="auto" w:line="276" w:before="0" w:after="140"/>
        <w:jc w:val="right"/>
        <w:rPr/>
      </w:pPr>
      <w:r>
        <w:rPr>
          <w:bCs/>
          <w:rtl w:val="true"/>
        </w:rPr>
        <w:t>מה שואלים בבגרות על הנושא הזה</w:t>
      </w:r>
      <w:r>
        <w:rPr>
          <w:b/>
          <w:rtl w:val="true"/>
        </w:rPr>
        <w:t>?</w:t>
      </w:r>
    </w:p>
    <w:p>
      <w:pPr>
        <w:pStyle w:val="TextBody"/>
        <w:numPr>
          <w:ilvl w:val="0"/>
          <w:numId w:val="1"/>
        </w:numPr>
        <w:tabs>
          <w:tab w:val="clear" w:pos="709"/>
          <w:tab w:val="left" w:pos="709" w:leader="none"/>
        </w:tabs>
        <w:bidi w:val="1"/>
        <w:spacing w:before="0" w:after="0"/>
        <w:ind w:left="709" w:firstLine="992"/>
        <w:jc w:val="right"/>
        <w:rPr/>
      </w:pPr>
      <w:r>
        <w:rPr>
          <w:rtl w:val="true"/>
        </w:rPr>
        <w:t>הסבר תופעה או סיבות בעזרת החומר שלמדתם</w:t>
      </w:r>
    </w:p>
    <w:p>
      <w:pPr>
        <w:pStyle w:val="TextBody"/>
        <w:numPr>
          <w:ilvl w:val="0"/>
          <w:numId w:val="1"/>
        </w:numPr>
        <w:tabs>
          <w:tab w:val="clear" w:pos="709"/>
          <w:tab w:val="left" w:pos="709" w:leader="none"/>
        </w:tabs>
        <w:bidi w:val="1"/>
        <w:spacing w:before="0" w:after="0"/>
        <w:ind w:left="709" w:firstLine="992"/>
        <w:jc w:val="right"/>
        <w:rPr/>
      </w:pPr>
      <w:r>
        <w:rPr>
          <w:rtl w:val="true"/>
        </w:rPr>
        <w:t>השוואה</w:t>
      </w:r>
      <w:r>
        <w:rPr>
          <w:rtl w:val="true"/>
        </w:rPr>
        <w:t xml:space="preserve">: </w:t>
      </w:r>
      <w:r>
        <w:rPr>
          <w:rtl w:val="true"/>
        </w:rPr>
        <w:t>דמיון והבדל בין מושגים או גישות</w:t>
      </w:r>
    </w:p>
    <w:p>
      <w:pPr>
        <w:pStyle w:val="TextBody"/>
        <w:numPr>
          <w:ilvl w:val="0"/>
          <w:numId w:val="1"/>
        </w:numPr>
        <w:tabs>
          <w:tab w:val="clear" w:pos="709"/>
          <w:tab w:val="left" w:pos="709" w:leader="none"/>
        </w:tabs>
        <w:bidi w:val="1"/>
        <w:spacing w:before="0" w:after="0"/>
        <w:ind w:left="709" w:firstLine="992"/>
        <w:jc w:val="right"/>
        <w:rPr/>
      </w:pPr>
      <w:r>
        <w:rPr>
          <w:rtl w:val="true"/>
        </w:rPr>
        <w:t>ישראל מעניקה לכל אזרחיה זכויות פרט מלאות ושוות</w:t>
      </w:r>
    </w:p>
    <w:p>
      <w:pPr>
        <w:pStyle w:val="TextBody"/>
        <w:numPr>
          <w:ilvl w:val="0"/>
          <w:numId w:val="1"/>
        </w:numPr>
        <w:tabs>
          <w:tab w:val="clear" w:pos="709"/>
          <w:tab w:val="left" w:pos="709" w:leader="none"/>
        </w:tabs>
        <w:bidi w:val="1"/>
        <w:spacing w:before="0" w:after="0"/>
        <w:ind w:left="709" w:firstLine="992"/>
        <w:jc w:val="right"/>
        <w:rPr/>
      </w:pPr>
      <w:r>
        <w:rPr>
          <w:rtl w:val="true"/>
        </w:rPr>
        <w:t>ביטויים למעמד המיעוטים במרחב הציבורי בישראל</w:t>
      </w:r>
    </w:p>
    <w:p>
      <w:pPr>
        <w:pStyle w:val="TextBody"/>
        <w:numPr>
          <w:ilvl w:val="0"/>
          <w:numId w:val="1"/>
        </w:numPr>
        <w:tabs>
          <w:tab w:val="clear" w:pos="709"/>
          <w:tab w:val="left" w:pos="709" w:leader="none"/>
        </w:tabs>
        <w:bidi w:val="1"/>
        <w:spacing w:before="0" w:after="0"/>
        <w:ind w:left="709" w:firstLine="992"/>
        <w:jc w:val="right"/>
        <w:rPr/>
      </w:pPr>
      <w:r>
        <w:rPr>
          <w:rtl w:val="true"/>
        </w:rPr>
        <w:t xml:space="preserve">תכנית החלוקה – החלטה </w:t>
      </w:r>
      <w:r>
        <w:rPr/>
        <w:t>181</w:t>
      </w:r>
      <w:r>
        <w:rPr>
          <w:rtl w:val="true"/>
        </w:rPr>
        <w:t xml:space="preserve"> </w:t>
      </w:r>
      <w:r>
        <w:rPr>
          <w:rtl w:val="true"/>
        </w:rPr>
        <w:t>של האו</w:t>
      </w:r>
      <w:r>
        <w:rPr>
          <w:rtl w:val="true"/>
        </w:rPr>
        <w:t>"</w:t>
      </w:r>
      <w:r>
        <w:rPr>
          <w:rtl w:val="true"/>
        </w:rPr>
        <w:t>ם</w:t>
      </w:r>
    </w:p>
    <w:p>
      <w:pPr>
        <w:pStyle w:val="TextBody"/>
        <w:numPr>
          <w:ilvl w:val="0"/>
          <w:numId w:val="1"/>
        </w:numPr>
        <w:tabs>
          <w:tab w:val="clear" w:pos="709"/>
          <w:tab w:val="left" w:pos="709" w:leader="none"/>
        </w:tabs>
        <w:bidi w:val="1"/>
        <w:ind w:left="709" w:firstLine="992"/>
        <w:jc w:val="right"/>
        <w:rPr/>
      </w:pPr>
      <w:r>
        <w:rPr>
          <w:rtl w:val="true"/>
        </w:rPr>
        <w:t>המיעוט הערבי בישראל</w:t>
      </w:r>
    </w:p>
    <w:p>
      <w:pPr>
        <w:pStyle w:val="TextBody"/>
        <w:bidi w:val="1"/>
        <w:jc w:val="right"/>
        <w:rPr/>
      </w:pPr>
      <w:r>
        <w:rPr>
          <w:bCs/>
          <w:rtl w:val="true"/>
        </w:rPr>
        <w:t>טעויות נפוצות — תזכורת אחרונה</w:t>
      </w:r>
      <w:r>
        <w:rPr>
          <w:b/>
          <w:rtl w:val="true"/>
        </w:rPr>
        <w:t>:</w:t>
      </w:r>
    </w:p>
    <w:p>
      <w:pPr>
        <w:pStyle w:val="TextBody"/>
        <w:numPr>
          <w:ilvl w:val="0"/>
          <w:numId w:val="2"/>
        </w:numPr>
        <w:tabs>
          <w:tab w:val="clear" w:pos="709"/>
          <w:tab w:val="left" w:pos="709" w:leader="none"/>
        </w:tabs>
        <w:bidi w:val="1"/>
        <w:spacing w:before="0" w:after="0"/>
        <w:ind w:left="709" w:firstLine="992"/>
        <w:jc w:val="right"/>
        <w:rPr/>
      </w:pPr>
      <w:r>
        <w:rPr>
          <w:rtl w:val="true"/>
        </w:rPr>
        <w:t xml:space="preserve">מציינים את המושג בלי להציג אותו </w:t>
      </w:r>
      <w:r>
        <w:rPr>
          <w:rtl w:val="true"/>
        </w:rPr>
        <w:t xml:space="preserve">- </w:t>
      </w:r>
      <w:r>
        <w:rPr>
          <w:rtl w:val="true"/>
        </w:rPr>
        <w:t>ציון בלבד לא מספיק</w:t>
      </w:r>
      <w:r>
        <w:rPr>
          <w:rtl w:val="true"/>
        </w:rPr>
        <w:t>.</w:t>
      </w:r>
    </w:p>
    <w:p>
      <w:pPr>
        <w:pStyle w:val="TextBody"/>
        <w:numPr>
          <w:ilvl w:val="0"/>
          <w:numId w:val="2"/>
        </w:numPr>
        <w:tabs>
          <w:tab w:val="clear" w:pos="709"/>
          <w:tab w:val="left" w:pos="709" w:leader="none"/>
        </w:tabs>
        <w:bidi w:val="1"/>
        <w:spacing w:before="0" w:after="0"/>
        <w:ind w:left="709" w:firstLine="992"/>
        <w:jc w:val="right"/>
        <w:rPr/>
      </w:pPr>
      <w:r>
        <w:rPr>
          <w:rtl w:val="true"/>
        </w:rPr>
        <w:t xml:space="preserve">שוכחים לקשר את ההסבר לקטע עצמו </w:t>
      </w:r>
      <w:r>
        <w:rPr>
          <w:rtl w:val="true"/>
        </w:rPr>
        <w:t xml:space="preserve">- </w:t>
      </w:r>
      <w:r>
        <w:rPr>
          <w:rtl w:val="true"/>
        </w:rPr>
        <w:t>חובה ציטוט או התייחסות ישירה לקטע</w:t>
      </w:r>
      <w:r>
        <w:rPr>
          <w:rtl w:val="true"/>
        </w:rPr>
        <w:t>.</w:t>
      </w:r>
    </w:p>
    <w:p>
      <w:pPr>
        <w:pStyle w:val="TextBody"/>
        <w:numPr>
          <w:ilvl w:val="0"/>
          <w:numId w:val="2"/>
        </w:numPr>
        <w:tabs>
          <w:tab w:val="clear" w:pos="709"/>
          <w:tab w:val="left" w:pos="709" w:leader="none"/>
        </w:tabs>
        <w:bidi w:val="1"/>
        <w:ind w:left="709" w:firstLine="992"/>
        <w:jc w:val="right"/>
        <w:rPr/>
      </w:pPr>
      <w:r>
        <w:rPr>
          <w:rtl w:val="true"/>
        </w:rPr>
        <w:t>כותבים תשובה כללית בלי המושגים המקצועיים מהמחוון</w:t>
      </w:r>
      <w:r>
        <w:rPr>
          <w:rtl w:val="true"/>
        </w:rPr>
        <w:t>.</w:t>
      </w:r>
    </w:p>
    <w:p>
      <w:pPr>
        <w:pStyle w:val="TextBody"/>
        <w:bidi w:val="1"/>
        <w:spacing w:before="210" w:after="60"/>
        <w:ind w:left="210" w:right="210" w:hanging="0"/>
        <w:jc w:val="right"/>
        <w:rPr>
          <w:color w:val="8A8F98"/>
          <w:bdr w:val="single" w:sz="2" w:space="5" w:color="E3E3E3"/>
        </w:rPr>
      </w:pPr>
      <w:r>
        <w:rPr>
          <w:color w:val="8A8F98"/>
          <w:szCs w:val="15"/>
          <w:bdr w:val="single" w:sz="2" w:space="5" w:color="E3E3E3"/>
          <w:rtl w:val="true"/>
        </w:rPr>
        <w:t xml:space="preserve">מבוסס על חומרי עמוד הנושא באתר ועל מוקדי הלימוד של משרד החינוך </w:t>
      </w:r>
      <w:r>
        <w:rPr>
          <w:color w:val="8A8F98"/>
          <w:sz w:val="15"/>
          <w:bdr w:val="single" w:sz="2" w:space="5" w:color="E3E3E3"/>
          <w:rtl w:val="true"/>
        </w:rPr>
        <w:t>(</w:t>
      </w:r>
      <w:r>
        <w:rPr>
          <w:color w:val="8A8F98"/>
          <w:szCs w:val="15"/>
          <w:bdr w:val="single" w:sz="2" w:space="5" w:color="E3E3E3"/>
          <w:rtl w:val="true"/>
        </w:rPr>
        <w:t>תכנית אשנב</w:t>
      </w:r>
      <w:r>
        <w:rPr>
          <w:color w:val="8A8F98"/>
          <w:sz w:val="15"/>
          <w:bdr w:val="single" w:sz="2" w:space="5" w:color="E3E3E3"/>
          <w:rtl w:val="true"/>
        </w:rPr>
        <w:t xml:space="preserve">). </w:t>
      </w:r>
      <w:r>
        <w:rPr>
          <w:color w:val="8A8F98"/>
          <w:szCs w:val="15"/>
          <w:bdr w:val="single" w:sz="2" w:space="5" w:color="E3E3E3"/>
          <w:rtl w:val="true"/>
        </w:rPr>
        <w:t>חומר לתרגול ולחזרה עצמית</w:t>
      </w:r>
      <w:r>
        <w:rPr>
          <w:color w:val="8A8F98"/>
          <w:sz w:val="15"/>
          <w:bdr w:val="single" w:sz="2" w:space="5" w:color="E3E3E3"/>
          <w:rtl w:val="true"/>
        </w:rPr>
        <w:t>.</w:t>
      </w:r>
    </w:p>
    <w:sectPr>
      <w:type w:val="nextPage"/>
      <w:pgSz w:w="11906" w:h="16838"/>
      <w:pgMar w:left="1134" w:right="567" w:gutter="0" w:header="0" w:top="567" w:footer="0" w:bottom="567"/>
      <w:pgNumType w:fmt="decimal"/>
      <w:formProt w:val="false"/>
      <w:textDirection w:val="lrTb"/>
      <w:bidi/>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oto Sans Hebrew">
    <w:altName w:val="Heebo"/>
    <w:charset w:val="00"/>
    <w:family w:val="auto"/>
    <w:pitch w:val="default"/>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72"/>
    </w:pPr>
    <w:rPr>
      <w:rFonts w:ascii="Noto Sans Hebrew;Heebo;Assistant;Arial;sans-serif" w:hAnsi="Noto Sans Hebrew;Heebo;Assistant;Arial;sans-serif" w:eastAsia="Noto Sans Hebrew;Heebo;Assistant;Arial;sans-serif" w:cs="Noto Sans Hebrew;Heebo;Assistant;Arial;sans-serif"/>
      <w:color w:val="26303B"/>
      <w:sz w:val="18"/>
      <w:szCs w:val="18"/>
      <w:lang w:val="en-US" w:eastAsia="zh-CN" w:bidi="hi-IN"/>
    </w:rPr>
  </w:style>
  <w:style w:type="paragraph" w:styleId="Heading1">
    <w:name w:val="Heading 1"/>
    <w:basedOn w:val="Heading"/>
    <w:next w:val="TextBody"/>
    <w:qFormat/>
    <w:pPr>
      <w:spacing w:before="240" w:after="120"/>
      <w:outlineLvl w:val="0"/>
    </w:pPr>
    <w:rPr>
      <w:rFonts w:ascii="Liberation Serif" w:hAnsi="Liberation Serif" w:eastAsia="DejaVu Sans" w:cs="Noto Sans Devanagari"/>
      <w:b/>
      <w:bCs/>
      <w:sz w:val="48"/>
      <w:szCs w:val="48"/>
    </w:rPr>
  </w:style>
  <w:style w:type="paragraph" w:styleId="Heading2">
    <w:name w:val="Heading 2"/>
    <w:basedOn w:val="Heading"/>
    <w:next w:val="TextBody"/>
    <w:qFormat/>
    <w:pPr>
      <w:spacing w:before="200" w:after="120"/>
      <w:outlineLvl w:val="1"/>
    </w:pPr>
    <w:rPr>
      <w:rFonts w:ascii="Liberation Serif" w:hAnsi="Liberation Serif" w:eastAsia="DejaVu Sans" w:cs="Noto Sans Devanagari"/>
      <w:b/>
      <w:bCs/>
      <w:sz w:val="36"/>
      <w:szCs w:val="36"/>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ing2unit">
    <w:name w:val="Heading 2.unit"/>
    <w:basedOn w:val="Heading2"/>
    <w:qFormat/>
    <w:pPr>
      <w:pBdr/>
      <w:shd w:fill="EEF3F9" w:val="clear"/>
      <w:spacing w:before="210" w:after="90"/>
      <w:ind w:left="210" w:right="210" w:hanging="0"/>
      <w:outlineLvl w:val="9"/>
    </w:pPr>
    <w:rPr>
      <w:color w:val="1F3A5F"/>
      <w:sz w:val="21"/>
      <w:szCs w:val="21"/>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