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"/>
        <w:bidi w:val="1"/>
        <w:spacing w:before="0" w:after="0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 xml:space="preserve">אזרחות </w:t>
      </w:r>
      <w:r>
        <w:rPr>
          <w:color w:val="FFFFFF"/>
          <w:shd w:fill="1F3A5F" w:val="clear"/>
          <w:rtl w:val="true"/>
        </w:rPr>
        <w:t xml:space="preserve">· </w:t>
      </w:r>
      <w:r>
        <w:rPr>
          <w:color w:val="FFFFFF"/>
          <w:shd w:fill="1F3A5F" w:val="clear"/>
          <w:rtl w:val="true"/>
        </w:rPr>
        <w:t xml:space="preserve">שאלון </w:t>
      </w:r>
      <w:r>
        <w:rPr>
          <w:color w:val="FFFFFF"/>
          <w:shd w:fill="1F3A5F" w:val="clear"/>
        </w:rPr>
        <w:t>34281</w:t>
      </w:r>
    </w:p>
    <w:p>
      <w:pPr>
        <w:pStyle w:val="TextBody"/>
        <w:bidi w:val="1"/>
        <w:spacing w:before="0" w:after="60"/>
        <w:jc w:val="right"/>
        <w:rPr>
          <w:bCs/>
          <w:color w:val="FFFFFF"/>
          <w:szCs w:val="17"/>
          <w:shd w:fill="B98A1F" w:val="clear"/>
        </w:rPr>
      </w:pPr>
      <w:r>
        <w:rPr>
          <w:bCs/>
          <w:color w:val="FFFFFF"/>
          <w:szCs w:val="17"/>
          <w:shd w:fill="B98A1F" w:val="clear"/>
          <w:rtl w:val="true"/>
        </w:rPr>
        <w:t>מילון מושגים</w:t>
      </w:r>
    </w:p>
    <w:p>
      <w:pPr>
        <w:pStyle w:val="Heading1"/>
        <w:bidi w:val="1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>שיטת הבחירות</w:t>
      </w:r>
    </w:p>
    <w:p>
      <w:pPr>
        <w:pStyle w:val="TextBody"/>
        <w:bidi w:val="1"/>
        <w:spacing w:before="60" w:after="180"/>
        <w:ind w:left="60" w:right="60" w:hanging="0"/>
        <w:jc w:val="right"/>
        <w:rPr>
          <w:bdr w:val="single" w:sz="2" w:space="6" w:color="E6D9B0"/>
          <w:shd w:fill="FAF3DF" w:val="clear"/>
        </w:rPr>
      </w:pPr>
      <w:r>
        <w:rPr>
          <w:bCs/>
          <w:bdr w:val="single" w:sz="2" w:space="6" w:color="E6D9B0"/>
          <w:shd w:fill="FAF3DF" w:val="clear"/>
          <w:rtl w:val="true"/>
        </w:rPr>
        <w:t>איך משתמשים במילון</w:t>
      </w:r>
      <w:r>
        <w:rPr>
          <w:b/>
          <w:bdr w:val="single" w:sz="2" w:space="6" w:color="E6D9B0"/>
          <w:shd w:fill="FAF3DF" w:val="clear"/>
          <w:rtl w:val="true"/>
        </w:rPr>
        <w:t>?</w:t>
      </w:r>
      <w:r>
        <w:rPr>
          <w:bdr w:val="single" w:sz="2" w:space="6" w:color="E6D9B0"/>
          <w:shd w:fill="FAF3DF" w:val="clear"/>
          <w:rtl w:val="true"/>
        </w:rPr>
        <w:t xml:space="preserve"> </w:t>
      </w:r>
      <w:r>
        <w:rPr>
          <w:bdr w:val="single" w:sz="2" w:space="6" w:color="E6D9B0"/>
          <w:shd w:fill="FAF3DF" w:val="clear"/>
          <w:rtl w:val="true"/>
        </w:rPr>
        <w:t xml:space="preserve">בבגרות כתוב </w:t>
      </w:r>
      <w:r>
        <w:rPr>
          <w:bdr w:val="single" w:sz="2" w:space="6" w:color="E6D9B0"/>
          <w:shd w:fill="FAF3DF" w:val="clear"/>
          <w:rtl w:val="true"/>
        </w:rPr>
        <w:t>"</w:t>
      </w:r>
      <w:r>
        <w:rPr>
          <w:bdr w:val="single" w:sz="2" w:space="6" w:color="E6D9B0"/>
          <w:shd w:fill="FAF3DF" w:val="clear"/>
          <w:rtl w:val="true"/>
        </w:rPr>
        <w:t>הציגו מושג</w:t>
      </w:r>
      <w:r>
        <w:rPr>
          <w:bdr w:val="single" w:sz="2" w:space="6" w:color="E6D9B0"/>
          <w:shd w:fill="FAF3DF" w:val="clear"/>
          <w:rtl w:val="true"/>
        </w:rPr>
        <w:t xml:space="preserve">" — </w:t>
      </w:r>
      <w:r>
        <w:rPr>
          <w:bdr w:val="single" w:sz="2" w:space="6" w:color="E6D9B0"/>
          <w:shd w:fill="FAF3DF" w:val="clear"/>
          <w:rtl w:val="true"/>
        </w:rPr>
        <w:t xml:space="preserve">וההגדרה חייבת לבוא </w:t>
      </w:r>
      <w:r>
        <w:rPr>
          <w:bCs/>
          <w:bdr w:val="single" w:sz="2" w:space="6" w:color="E6D9B0"/>
          <w:shd w:fill="FAF3DF" w:val="clear"/>
          <w:rtl w:val="true"/>
        </w:rPr>
        <w:t>מהחומר שלמדתם</w:t>
      </w:r>
      <w:r>
        <w:rPr>
          <w:b/>
          <w:bdr w:val="single" w:sz="2" w:space="6" w:color="E6D9B0"/>
          <w:shd w:fill="FAF3DF" w:val="clear"/>
          <w:rtl w:val="true"/>
        </w:rPr>
        <w:t xml:space="preserve">, </w:t>
      </w:r>
      <w:r>
        <w:rPr>
          <w:bCs/>
          <w:bdr w:val="single" w:sz="2" w:space="6" w:color="E6D9B0"/>
          <w:shd w:fill="FAF3DF" w:val="clear"/>
          <w:rtl w:val="true"/>
        </w:rPr>
        <w:t>לא מהקטע</w:t>
      </w:r>
      <w:r>
        <w:rPr>
          <w:bdr w:val="single" w:sz="2" w:space="6" w:color="E6D9B0"/>
          <w:shd w:fill="FAF3DF" w:val="clear"/>
          <w:rtl w:val="true"/>
        </w:rPr>
        <w:t xml:space="preserve">. </w:t>
      </w:r>
      <w:r>
        <w:rPr>
          <w:bdr w:val="single" w:sz="2" w:space="6" w:color="E6D9B0"/>
          <w:shd w:fill="FAF3DF" w:val="clear"/>
          <w:rtl w:val="true"/>
        </w:rPr>
        <w:t>לכן</w:t>
      </w:r>
      <w:r>
        <w:rPr>
          <w:bdr w:val="single" w:sz="2" w:space="6" w:color="E6D9B0"/>
          <w:shd w:fill="FAF3DF" w:val="clear"/>
          <w:rtl w:val="true"/>
        </w:rPr>
        <w:t xml:space="preserve">: </w:t>
      </w:r>
      <w:r>
        <w:rPr>
          <w:bdr w:val="single" w:sz="2" w:space="6" w:color="E6D9B0"/>
          <w:shd w:fill="FAF3DF" w:val="clear"/>
          <w:rtl w:val="true"/>
        </w:rPr>
        <w:t>קוראים את המושג</w:t>
      </w:r>
      <w:r>
        <w:rPr>
          <w:bdr w:val="single" w:sz="2" w:space="6" w:color="E6D9B0"/>
          <w:shd w:fill="FAF3DF" w:val="clear"/>
          <w:rtl w:val="true"/>
        </w:rPr>
        <w:t xml:space="preserve">, </w:t>
      </w:r>
      <w:r>
        <w:rPr>
          <w:bdr w:val="single" w:sz="2" w:space="6" w:color="E6D9B0"/>
          <w:shd w:fill="FAF3DF" w:val="clear"/>
          <w:rtl w:val="true"/>
        </w:rPr>
        <w:t>מכסים את ההסבר ואומרים אותו במילים שלכם</w:t>
      </w:r>
      <w:r>
        <w:rPr>
          <w:bdr w:val="single" w:sz="2" w:space="6" w:color="E6D9B0"/>
          <w:shd w:fill="FAF3DF" w:val="clear"/>
          <w:rtl w:val="true"/>
        </w:rPr>
        <w:t xml:space="preserve">. </w:t>
      </w:r>
      <w:r>
        <w:rPr>
          <w:bdr w:val="single" w:sz="2" w:space="6" w:color="E6D9B0"/>
          <w:shd w:fill="FAF3DF" w:val="clear"/>
          <w:rtl w:val="true"/>
        </w:rPr>
        <w:t>בסוף בודקים את עצמכם במשחק ההתאמה שבעמוד הנושא</w:t>
      </w:r>
      <w:r>
        <w:rPr>
          <w:bdr w:val="single" w:sz="2" w:space="6" w:color="E6D9B0"/>
          <w:shd w:fill="FAF3DF" w:val="clear"/>
          <w:rtl w:val="true"/>
        </w:rPr>
        <w:t>.</w:t>
      </w:r>
    </w:p>
    <w:p>
      <w:pPr>
        <w:pStyle w:val="Heading2unit"/>
        <w:pBdr/>
        <w:shd w:fill="EEF3F9" w:val="clear"/>
        <w:bidi w:val="1"/>
        <w:spacing w:before="210" w:after="90"/>
        <w:ind w:left="210" w:right="210" w:hanging="0"/>
        <w:jc w:val="right"/>
        <w:rPr/>
      </w:pPr>
      <w:r>
        <w:rPr>
          <w:rtl w:val="true"/>
        </w:rPr>
        <w:t>הנושא במבט כולל</w:t>
      </w:r>
    </w:p>
    <w:tbl>
      <w:tblPr>
        <w:bidiVisual w:val="true"/>
        <w:tblW w:w="1020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954"/>
        <w:gridCol w:w="7251"/>
      </w:tblGrid>
      <w:tr>
        <w:trPr/>
        <w:tc>
          <w:tcPr>
            <w:tcW w:w="2954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מושג</w:t>
            </w:r>
          </w:p>
        </w:tc>
        <w:tc>
          <w:tcPr>
            <w:tcW w:w="7251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מה צריך לדעת</w:t>
            </w:r>
          </w:p>
        </w:tc>
      </w:tr>
      <w:tr>
        <w:trPr/>
        <w:tc>
          <w:tcPr>
            <w:tcW w:w="295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מאפייני שיטת הבחירות בישראל</w:t>
            </w:r>
          </w:p>
        </w:tc>
        <w:tc>
          <w:tcPr>
            <w:tcW w:w="725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כלליות</w:t>
            </w:r>
            <w:r>
              <w:rPr>
                <w:rtl w:val="true"/>
              </w:rPr>
              <w:t xml:space="preserve">: </w:t>
            </w:r>
            <w:r>
              <w:rPr>
                <w:rtl w:val="true"/>
              </w:rPr>
              <w:t xml:space="preserve">לכל אזרח ישראלי מגיל </w:t>
            </w:r>
            <w:r>
              <w:rPr/>
              <w:t>18</w:t>
            </w:r>
            <w:r>
              <w:rPr>
                <w:rtl w:val="true"/>
              </w:rPr>
              <w:t xml:space="preserve"> </w:t>
            </w:r>
            <w:r>
              <w:rPr>
                <w:rtl w:val="true"/>
              </w:rPr>
              <w:t>ומעלה זכות להצביע</w:t>
            </w:r>
            <w:r>
              <w:rPr>
                <w:rtl w:val="true"/>
              </w:rPr>
              <w:t xml:space="preserve">; </w:t>
            </w:r>
            <w:r>
              <w:rPr>
                <w:rtl w:val="true"/>
              </w:rPr>
              <w:t xml:space="preserve">זכות ההיבחרות לכנסת מגיל </w:t>
            </w:r>
            <w:r>
              <w:rPr/>
              <w:t>21</w:t>
            </w:r>
            <w:r>
              <w:rPr>
                <w:rtl w:val="true"/>
              </w:rPr>
              <w:t xml:space="preserve"> </w:t>
            </w:r>
            <w:r>
              <w:rPr>
                <w:rtl w:val="true"/>
              </w:rPr>
              <w:t>ומעלה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295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יתרונות וחסרונות השיטה</w:t>
            </w:r>
          </w:p>
        </w:tc>
        <w:tc>
          <w:tcPr>
            <w:tcW w:w="725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יתרונות</w:t>
            </w:r>
            <w:r>
              <w:rPr>
                <w:rtl w:val="true"/>
              </w:rPr>
              <w:t xml:space="preserve">: </w:t>
            </w:r>
            <w:r>
              <w:rPr>
                <w:rtl w:val="true"/>
              </w:rPr>
              <w:t>ייצוג מדויק של כל גווני הציבור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פשטות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הוגנות יחסית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295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אחוז החסימה</w:t>
            </w:r>
          </w:p>
        </w:tc>
        <w:tc>
          <w:tcPr>
            <w:tcW w:w="725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 xml:space="preserve">אחוז החסימה הוא הסף המינימלי של קולות הדרוש למפלגה כדי להיכנס לכנסת </w:t>
            </w:r>
            <w:r>
              <w:rPr>
                <w:rtl w:val="true"/>
              </w:rPr>
              <w:t>(</w:t>
            </w:r>
            <w:r>
              <w:rPr>
                <w:rtl w:val="true"/>
              </w:rPr>
              <w:t xml:space="preserve">כיום </w:t>
            </w:r>
            <w:r>
              <w:rPr/>
              <w:t>3.25%</w:t>
            </w:r>
            <w:r>
              <w:rPr>
                <w:rtl w:val="true"/>
              </w:rPr>
              <w:t>).</w:t>
            </w:r>
          </w:p>
        </w:tc>
      </w:tr>
      <w:tr>
        <w:trPr/>
        <w:tc>
          <w:tcPr>
            <w:tcW w:w="295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שיטות בחירות בעולם</w:t>
            </w:r>
          </w:p>
        </w:tc>
        <w:tc>
          <w:tcPr>
            <w:tcW w:w="725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 xml:space="preserve">שיטה רובית </w:t>
            </w:r>
            <w:r>
              <w:rPr>
                <w:rtl w:val="true"/>
              </w:rPr>
              <w:t>(</w:t>
            </w:r>
            <w:r>
              <w:rPr>
                <w:rtl w:val="true"/>
              </w:rPr>
              <w:t>מחוזית</w:t>
            </w:r>
            <w:r>
              <w:rPr>
                <w:rtl w:val="true"/>
              </w:rPr>
              <w:t xml:space="preserve">): </w:t>
            </w:r>
            <w:r>
              <w:rPr>
                <w:rtl w:val="true"/>
              </w:rPr>
              <w:t>המועמד עם הרוב במחוז זוכה</w:t>
            </w:r>
            <w:r>
              <w:rPr>
                <w:rtl w:val="true"/>
              </w:rPr>
              <w:t xml:space="preserve">; </w:t>
            </w:r>
            <w:r>
              <w:rPr>
                <w:rtl w:val="true"/>
              </w:rPr>
              <w:t>פשוטה אך מעוותת ייצוג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295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היסטוריה של שיטת הבחירות בישראל</w:t>
            </w:r>
          </w:p>
        </w:tc>
        <w:tc>
          <w:tcPr>
            <w:tcW w:w="725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השיטה נקבעה עוד בתקופת היישוב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בהשפעת הרצון לייצג את כל הזרמים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295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חלוקת המושבים בפועל</w:t>
            </w:r>
          </w:p>
        </w:tc>
        <w:tc>
          <w:tcPr>
            <w:tcW w:w="725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/>
              <w:t>120</w:t>
            </w:r>
            <w:r>
              <w:rPr>
                <w:rtl w:val="true"/>
              </w:rPr>
              <w:t xml:space="preserve"> </w:t>
            </w:r>
            <w:r>
              <w:rPr>
                <w:rtl w:val="true"/>
              </w:rPr>
              <w:t>מושבים בכנסת מחולקים יחסית לקולות הכשרים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295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השפעת השיטה על הפוליטיקה</w:t>
            </w:r>
          </w:p>
        </w:tc>
        <w:tc>
          <w:tcPr>
            <w:tcW w:w="725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ריבוי מפלגות</w:t>
            </w:r>
            <w:r>
              <w:rPr>
                <w:rtl w:val="true"/>
              </w:rPr>
              <w:t xml:space="preserve">: </w:t>
            </w:r>
            <w:r>
              <w:rPr>
                <w:rtl w:val="true"/>
              </w:rPr>
              <w:t>כל קבוצה מיוצגת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אך קואליציות שבירות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295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 xml:space="preserve">בחירות בישראל </w:t>
            </w:r>
            <w:r>
              <w:rPr>
                <w:rtl w:val="true"/>
              </w:rPr>
              <w:t xml:space="preserve">- </w:t>
            </w:r>
            <w:r>
              <w:rPr>
                <w:rtl w:val="true"/>
              </w:rPr>
              <w:t>נתונים</w:t>
            </w:r>
          </w:p>
        </w:tc>
        <w:tc>
          <w:tcPr>
            <w:tcW w:w="725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 xml:space="preserve">אחוזי הצבעה בישראל גבוהים יחסית למערב </w:t>
            </w:r>
            <w:r>
              <w:rPr>
                <w:rtl w:val="true"/>
              </w:rPr>
              <w:t>(</w:t>
            </w:r>
            <w:r>
              <w:rPr>
                <w:rtl w:val="true"/>
              </w:rPr>
              <w:t>כ</w:t>
            </w:r>
            <w:r>
              <w:rPr>
                <w:rtl w:val="true"/>
              </w:rPr>
              <w:t>-</w:t>
            </w:r>
            <w:r>
              <w:rPr/>
              <w:t>70%</w:t>
            </w:r>
            <w:r>
              <w:rPr>
                <w:rtl w:val="true"/>
              </w:rPr>
              <w:t xml:space="preserve"> </w:t>
            </w:r>
            <w:r>
              <w:rPr>
                <w:rtl w:val="true"/>
              </w:rPr>
              <w:t>ומעלה</w:t>
            </w:r>
            <w:r>
              <w:rPr>
                <w:rtl w:val="true"/>
              </w:rPr>
              <w:t>).</w:t>
            </w:r>
          </w:p>
        </w:tc>
      </w:tr>
    </w:tbl>
    <w:p>
      <w:pPr>
        <w:pStyle w:val="TextBody"/>
        <w:bidi w:val="1"/>
        <w:spacing w:before="210" w:after="60"/>
        <w:ind w:left="210" w:right="210" w:hanging="0"/>
        <w:jc w:val="right"/>
        <w:rPr>
          <w:color w:val="8A8F98"/>
          <w:bdr w:val="single" w:sz="2" w:space="5" w:color="E3E3E3"/>
        </w:rPr>
      </w:pPr>
      <w:r>
        <w:rPr>
          <w:color w:val="8A8F98"/>
          <w:szCs w:val="15"/>
          <w:bdr w:val="single" w:sz="2" w:space="5" w:color="E3E3E3"/>
          <w:rtl w:val="true"/>
        </w:rPr>
        <w:t xml:space="preserve">מבוסס על חומרי עמוד הנושא באתר ועל מוקדי הלימוד של משרד החינוך </w:t>
      </w:r>
      <w:r>
        <w:rPr>
          <w:color w:val="8A8F98"/>
          <w:sz w:val="15"/>
          <w:bdr w:val="single" w:sz="2" w:space="5" w:color="E3E3E3"/>
          <w:rtl w:val="true"/>
        </w:rPr>
        <w:t>(</w:t>
      </w:r>
      <w:r>
        <w:rPr>
          <w:color w:val="8A8F98"/>
          <w:szCs w:val="15"/>
          <w:bdr w:val="single" w:sz="2" w:space="5" w:color="E3E3E3"/>
          <w:rtl w:val="true"/>
        </w:rPr>
        <w:t>תכנית אשנב</w:t>
      </w:r>
      <w:r>
        <w:rPr>
          <w:color w:val="8A8F98"/>
          <w:sz w:val="15"/>
          <w:bdr w:val="single" w:sz="2" w:space="5" w:color="E3E3E3"/>
          <w:rtl w:val="true"/>
        </w:rPr>
        <w:t xml:space="preserve">). </w:t>
      </w:r>
      <w:r>
        <w:rPr>
          <w:color w:val="8A8F98"/>
          <w:szCs w:val="15"/>
          <w:bdr w:val="single" w:sz="2" w:space="5" w:color="E3E3E3"/>
          <w:rtl w:val="true"/>
        </w:rPr>
        <w:t>חומר לתרגול ולחזרה עצמית</w:t>
      </w:r>
      <w:r>
        <w:rPr>
          <w:color w:val="8A8F98"/>
          <w:sz w:val="15"/>
          <w:bdr w:val="single" w:sz="2" w:space="5" w:color="E3E3E3"/>
          <w:rtl w:val="true"/>
        </w:rPr>
        <w:t>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bidi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Noto Sans Hebrew">
    <w:altName w:val="Heebo"/>
    <w:charset w:val="00"/>
    <w:family w:val="auto"/>
    <w:pitch w:val="default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72"/>
    </w:pPr>
    <w:rPr>
      <w:rFonts w:ascii="Noto Sans Hebrew;Heebo;Assistant;Arial;sans-serif" w:hAnsi="Noto Sans Hebrew;Heebo;Assistant;Arial;sans-serif" w:eastAsia="Noto Sans Hebrew;Heebo;Assistant;Arial;sans-serif" w:cs="Noto Sans Hebrew;Heebo;Assistant;Arial;sans-serif"/>
      <w:color w:val="26303B"/>
      <w:sz w:val="18"/>
      <w:szCs w:val="18"/>
      <w:lang w:val="en-US" w:eastAsia="zh-CN" w:bidi="hi-IN"/>
    </w:rPr>
  </w:style>
  <w:style w:type="paragraph" w:styleId="Heading1">
    <w:name w:val="Heading 1"/>
    <w:basedOn w:val="Heading"/>
    <w:next w:val="TextBody"/>
    <w:qFormat/>
    <w:pPr>
      <w:spacing w:before="240" w:after="120"/>
      <w:outlineLvl w:val="0"/>
    </w:pPr>
    <w:rPr>
      <w:rFonts w:ascii="Liberation Serif" w:hAnsi="Liberation Serif" w:eastAsia="DejaVu Sans" w:cs="Noto Sans Devanagari"/>
      <w:b/>
      <w:bCs/>
      <w:sz w:val="48"/>
      <w:szCs w:val="48"/>
    </w:rPr>
  </w:style>
  <w:style w:type="paragraph" w:styleId="Heading2">
    <w:name w:val="Heading 2"/>
    <w:basedOn w:val="Heading"/>
    <w:next w:val="TextBody"/>
    <w:qFormat/>
    <w:pPr>
      <w:spacing w:before="200" w:after="120"/>
      <w:outlineLvl w:val="1"/>
    </w:pPr>
    <w:rPr>
      <w:rFonts w:ascii="Liberation Serif" w:hAnsi="Liberation Serif" w:eastAsia="DejaVu Sans" w:cs="Noto Sans Devanagari"/>
      <w:b/>
      <w:bCs/>
      <w:sz w:val="36"/>
      <w:szCs w:val="36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ing2unit">
    <w:name w:val="Heading 2.unit"/>
    <w:basedOn w:val="Heading2"/>
    <w:qFormat/>
    <w:pPr>
      <w:pBdr/>
      <w:shd w:fill="EEF3F9" w:val="clear"/>
      <w:spacing w:before="210" w:after="90"/>
      <w:ind w:left="210" w:right="210" w:hanging="0"/>
      <w:outlineLvl w:val="9"/>
    </w:pPr>
    <w:rPr>
      <w:color w:val="1F3A5F"/>
      <w:sz w:val="21"/>
      <w:szCs w:val="21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