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E07A2E"/>
          </w:tcPr>
          <w:p>
            <w:pPr>
              <w:bidi/>
              <w:jc w:val="center"/>
            </w:pPr>
            <w:r>
              <w:rPr>
                <w:rFonts w:ascii="Suez One" w:hAnsi="Suez One" w:cs="Suez One"/>
                <w:b/>
                <w:color w:val="FFFFFF"/>
                <w:sz w:val="48"/>
                <w:rtl/>
                <w:bCs/>
                <w:szCs w:val="48"/>
              </w:rPr>
              <w:t>1</w:t>
            </w:r>
          </w:p>
        </w:tc>
        <w:tc>
          <w:tcPr>
            <w:tcW w:type="dxa" w:w="8617"/>
            <w:shd w:val="clear" w:color="auto" w:fill="1F3A5F"/>
          </w:tcPr>
          <w:p>
            <w:pPr>
              <w:bidi/>
            </w:pPr>
            <w:r>
              <w:rPr>
                <w:rFonts w:ascii="Suez One" w:hAnsi="Suez One" w:cs="Suez One"/>
                <w:b/>
                <w:color w:val="FFFFFF"/>
                <w:sz w:val="40"/>
                <w:rtl/>
                <w:bCs/>
                <w:szCs w:val="40"/>
              </w:rPr>
              <w:t>מהי אזרחות?</w:t>
            </w:r>
          </w:p>
          <w:p>
            <w:pPr>
              <w:bidi/>
            </w:pPr>
            <w:r>
              <w:rPr>
                <w:rFonts w:ascii="Rubik" w:hAnsi="Rubik" w:cs="Rubik"/>
                <w:color w:val="FFFFFF"/>
                <w:sz w:val="20"/>
                <w:rtl/>
                <w:szCs w:val="20"/>
              </w:rPr>
              <w:t>דף עבודה · מבוא ללימודי האזרחות: האזרח, המדינה והקשר ביניהם · אזרחות כיתה ט'</w:t>
            </w:r>
          </w:p>
        </w:tc>
      </w:tr>
    </w:tbl>
    <w:p>
      <w:pPr>
        <w:bidi/>
        <w:spacing w:after="40" w:before="0"/>
      </w:pPr>
    </w:p>
    <w:p>
      <w:pPr>
        <w:keepNext/>
        <w:bidi/>
        <w:spacing w:after="80" w:before="160"/>
      </w:pPr>
      <w:r>
        <w:rPr>
          <w:rFonts w:ascii="Rubik" w:hAnsi="Rubik" w:cs="Rubik"/>
          <w:b/>
          <w:color w:val="1F3A5F"/>
          <w:rtl/>
          <w:bCs/>
        </w:rPr>
        <w:t xml:space="preserve">1. </w:t>
      </w:r>
      <w:r>
        <w:rPr>
          <w:rFonts w:ascii="Rubik" w:hAnsi="Rubik" w:cs="Rubik"/>
          <w:b/>
          <w:rtl/>
          <w:bCs/>
        </w:rPr>
        <w:t>איזה מהתנאים הבאים אינו אחד התנאים לקיומה של מדינה?</w:t>
      </w:r>
    </w:p>
    <w:p>
      <w:pPr>
        <w:bidi/>
        <w:spacing w:after="20" w:before="0"/>
        <w:ind w:right="340"/>
      </w:pPr>
      <w:r>
        <w:rPr>
          <w:rFonts w:ascii="Rubik" w:hAnsi="Rubik" w:cs="Rubik"/>
          <w:rtl/>
        </w:rPr>
        <w:t>◯ א. טריטוריה מוגדרת</w:t>
      </w:r>
    </w:p>
    <w:p>
      <w:pPr>
        <w:bidi/>
        <w:spacing w:after="20" w:before="0"/>
        <w:ind w:right="340"/>
      </w:pPr>
      <w:r>
        <w:rPr>
          <w:rFonts w:ascii="Rubik" w:hAnsi="Rubik" w:cs="Rubik"/>
          <w:rtl/>
        </w:rPr>
        <w:t>◯ ב. אוכלוסייה קבועה</w:t>
      </w:r>
    </w:p>
    <w:p>
      <w:pPr>
        <w:bidi/>
        <w:spacing w:after="20" w:before="0"/>
        <w:ind w:right="340"/>
      </w:pPr>
      <w:r>
        <w:rPr>
          <w:rFonts w:ascii="Rubik" w:hAnsi="Rubik" w:cs="Rubik"/>
          <w:rtl/>
        </w:rPr>
        <w:t>◯ ג. שפה אחת לכל התושבים</w:t>
      </w:r>
    </w:p>
    <w:p>
      <w:pPr>
        <w:bidi/>
        <w:spacing w:after="20" w:before="0"/>
        <w:ind w:right="340"/>
      </w:pPr>
      <w:r>
        <w:rPr>
          <w:rFonts w:ascii="Rubik" w:hAnsi="Rubik" w:cs="Rubik"/>
          <w:rtl/>
        </w:rPr>
        <w:t>◯ ד. שלטון ריבוני</w:t>
      </w:r>
    </w:p>
    <w:p>
      <w:pPr>
        <w:keepNext/>
        <w:bidi/>
        <w:spacing w:after="80" w:before="160"/>
      </w:pPr>
      <w:r>
        <w:rPr>
          <w:rFonts w:ascii="Rubik" w:hAnsi="Rubik" w:cs="Rubik"/>
          <w:b/>
          <w:color w:val="1F3A5F"/>
          <w:rtl/>
          <w:bCs/>
        </w:rPr>
        <w:t xml:space="preserve">2. </w:t>
      </w:r>
      <w:r>
        <w:rPr>
          <w:rFonts w:ascii="Rubik" w:hAnsi="Rubik" w:cs="Rubik"/>
          <w:b/>
          <w:rtl/>
          <w:bCs/>
        </w:rPr>
        <w:t>«השלטון מקבל החלטות בעצמו ואינו כפוף לשלטון זר». המשפט מתאר את המושג:</w:t>
      </w:r>
    </w:p>
    <w:p>
      <w:pPr>
        <w:bidi/>
        <w:spacing w:after="20" w:before="0"/>
        <w:ind w:right="340"/>
      </w:pPr>
      <w:r>
        <w:rPr>
          <w:rFonts w:ascii="Rubik" w:hAnsi="Rubik" w:cs="Rubik"/>
          <w:rtl/>
        </w:rPr>
        <w:t>◯ א. הכרה בין־לאומית</w:t>
      </w:r>
    </w:p>
    <w:p>
      <w:pPr>
        <w:bidi/>
        <w:spacing w:after="20" w:before="0"/>
        <w:ind w:right="340"/>
      </w:pPr>
      <w:r>
        <w:rPr>
          <w:rFonts w:ascii="Rubik" w:hAnsi="Rubik" w:cs="Rubik"/>
          <w:rtl/>
        </w:rPr>
        <w:t>◯ ב. ריבונות</w:t>
      </w:r>
    </w:p>
    <w:p>
      <w:pPr>
        <w:bidi/>
        <w:spacing w:after="20" w:before="0"/>
        <w:ind w:right="340"/>
      </w:pPr>
      <w:r>
        <w:rPr>
          <w:rFonts w:ascii="Rubik" w:hAnsi="Rubik" w:cs="Rubik"/>
          <w:rtl/>
        </w:rPr>
        <w:t>◯ ג. השתתפות אזרחית</w:t>
      </w:r>
    </w:p>
    <w:p>
      <w:pPr>
        <w:bidi/>
        <w:spacing w:after="20" w:before="0"/>
        <w:ind w:right="340"/>
      </w:pPr>
      <w:r>
        <w:rPr>
          <w:rFonts w:ascii="Rubik" w:hAnsi="Rubik" w:cs="Rubik"/>
          <w:rtl/>
        </w:rPr>
        <w:t>◯ ד. טריטוריה</w:t>
      </w:r>
    </w:p>
    <w:p>
      <w:pPr>
        <w:keepNext/>
        <w:bidi/>
        <w:spacing w:after="80" w:before="160"/>
      </w:pPr>
      <w:r>
        <w:rPr>
          <w:rFonts w:ascii="Rubik" w:hAnsi="Rubik" w:cs="Rubik"/>
          <w:b/>
          <w:color w:val="1F3A5F"/>
          <w:rtl/>
          <w:bCs/>
        </w:rPr>
        <w:t xml:space="preserve">3. </w:t>
      </w:r>
      <w:r>
        <w:rPr>
          <w:rFonts w:ascii="Rubik" w:hAnsi="Rubik" w:cs="Rubik"/>
          <w:b/>
          <w:rtl/>
          <w:bCs/>
        </w:rPr>
        <w:t>מיינו את הדוגמאות לפי ההיבט של אזרחות שהן מבטאות:</w:t>
      </w:r>
    </w:p>
    <w:p>
      <w:pPr>
        <w:bidi/>
        <w:spacing w:after="80" w:before="0"/>
      </w:pPr>
      <w:r>
        <w:rPr>
          <w:rFonts w:ascii="Rubik" w:hAnsi="Rubik" w:cs="Rubik"/>
          <w:b/>
          <w:color w:val="E07A2E"/>
          <w:sz w:val="21"/>
          <w:rtl/>
          <w:bCs/>
          <w:szCs w:val="21"/>
        </w:rPr>
        <w:t>ביטויים: נועם קיבל תעודת זהות ודרכון ישראלי  |  דנה מתרגשת כשמניפים את הדגל ביום העצמאות  |  עומר מתנדב פעם בשבוע בבית אבות  |  יואב הצביע בבחירות לראשות העירייה  |  לאה משלמת מס הכנסה כחוק</w:t>
      </w:r>
    </w:p>
    <w:tbl>
      <w:tblPr>
        <w:tblStyle w:val="TableGrid"/>
        <w:tblW w:type="auto" w:w="0"/>
        <w:tblLook w:firstColumn="1" w:firstRow="1" w:lastColumn="0" w:lastRow="0" w:noHBand="0" w:noVBand="1" w:val="04A0"/>
        <w:bidiVisual/>
      </w:tblPr>
      <w:tblGrid>
        <w:gridCol w:w="3289"/>
        <w:gridCol w:w="3289"/>
        <w:gridCol w:w="3289"/>
      </w:tblGrid>
      <w:tr>
        <w:tc>
          <w:tcPr>
            <w:tcW w:type="dxa" w:w="3289"/>
            <w:shd w:val="clear" w:color="auto" w:fill="EEF3F9"/>
          </w:tcPr>
          <w:p>
            <w:pPr>
              <w:bidi/>
            </w:pPr>
            <w:r>
              <w:rPr>
                <w:rFonts w:ascii="Rubik" w:hAnsi="Rubik" w:cs="Rubik"/>
                <w:b/>
                <w:color w:val="1F3A5F"/>
                <w:rtl/>
                <w:bCs/>
              </w:rPr>
              <w:t>מעמד משפטי</w:t>
            </w:r>
          </w:p>
        </w:tc>
        <w:tc>
          <w:tcPr>
            <w:tcW w:type="dxa" w:w="3289"/>
            <w:shd w:val="clear" w:color="auto" w:fill="EEF3F9"/>
          </w:tcPr>
          <w:p>
            <w:pPr>
              <w:bidi/>
            </w:pPr>
            <w:r>
              <w:rPr>
                <w:rFonts w:ascii="Rubik" w:hAnsi="Rubik" w:cs="Rubik"/>
                <w:b/>
                <w:color w:val="1F3A5F"/>
                <w:rtl/>
                <w:bCs/>
              </w:rPr>
              <w:t>שייכות והזדהות</w:t>
            </w:r>
          </w:p>
        </w:tc>
        <w:tc>
          <w:tcPr>
            <w:tcW w:type="dxa" w:w="3289"/>
            <w:shd w:val="clear" w:color="auto" w:fill="EEF3F9"/>
          </w:tcPr>
          <w:p>
            <w:pPr>
              <w:bidi/>
            </w:pPr>
            <w:r>
              <w:rPr>
                <w:rFonts w:ascii="Rubik" w:hAnsi="Rubik" w:cs="Rubik"/>
                <w:b/>
                <w:color w:val="1F3A5F"/>
                <w:rtl/>
                <w:bCs/>
              </w:rPr>
              <w:t>השתתפות אזרחית</w:t>
            </w:r>
          </w:p>
        </w:tc>
      </w:tr>
      <w:tr>
        <w:tc>
          <w:tcPr>
            <w:tcW w:type="dxa" w:w="3289"/>
          </w:tcPr>
          <w:p>
            <w:pPr>
              <w:bidi/>
            </w:pPr>
            <w:r>
              <w:rPr>
                <w:rFonts w:ascii="Rubik" w:hAnsi="Rubik" w:cs="Rubik"/>
                <w:rtl/>
              </w:rPr>
              <w:br/>
              <w:br/>
              <w:br/>
            </w:r>
          </w:p>
        </w:tc>
        <w:tc>
          <w:tcPr>
            <w:tcW w:type="dxa" w:w="3289"/>
          </w:tcPr>
          <w:p>
            <w:pPr>
              <w:bidi/>
            </w:pPr>
            <w:r>
              <w:rPr>
                <w:rFonts w:ascii="Rubik" w:hAnsi="Rubik" w:cs="Rubik"/>
                <w:rtl/>
              </w:rPr>
              <w:br/>
              <w:br/>
              <w:br/>
            </w:r>
          </w:p>
        </w:tc>
        <w:tc>
          <w:tcPr>
            <w:tcW w:type="dxa" w:w="3289"/>
          </w:tcPr>
          <w:p>
            <w:pPr>
              <w:bidi/>
            </w:pPr>
            <w:r>
              <w:rPr>
                <w:rFonts w:ascii="Rubik" w:hAnsi="Rubik" w:cs="Rubik"/>
                <w:rtl/>
              </w:rPr>
              <w:br/>
              <w:br/>
              <w:br/>
            </w:r>
          </w:p>
        </w:tc>
      </w:tr>
    </w:tbl>
    <w:p>
      <w:pPr>
        <w:keepNext/>
        <w:bidi/>
        <w:spacing w:after="80" w:before="160"/>
      </w:pPr>
      <w:r>
        <w:rPr>
          <w:rFonts w:ascii="Rubik" w:hAnsi="Rubik" w:cs="Rubik"/>
          <w:b/>
          <w:color w:val="1F3A5F"/>
          <w:rtl/>
          <w:bCs/>
        </w:rPr>
        <w:t xml:space="preserve">4. </w:t>
      </w:r>
      <w:r>
        <w:rPr>
          <w:rFonts w:ascii="Rubik" w:hAnsi="Rubik" w:cs="Rubik"/>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EEF3F9"/>
          </w:tcPr>
          <w:p>
            <w:pPr>
              <w:bidi/>
            </w:pPr>
            <w:r>
              <w:rPr>
                <w:rFonts w:ascii="Rubik" w:hAnsi="Rubik" w:cs="Rubik"/>
                <w:b/>
                <w:color w:val="1F3A5F"/>
                <w:rtl/>
                <w:bCs/>
              </w:rPr>
              <w:t>משפט</w:t>
            </w:r>
          </w:p>
        </w:tc>
        <w:tc>
          <w:tcPr>
            <w:tcW w:type="dxa" w:w="1020"/>
            <w:shd w:val="clear" w:color="auto" w:fill="EEF3F9"/>
          </w:tcPr>
          <w:p>
            <w:pPr>
              <w:bidi/>
            </w:pPr>
            <w:r>
              <w:rPr>
                <w:rFonts w:ascii="Rubik" w:hAnsi="Rubik" w:cs="Rubik"/>
                <w:b/>
                <w:color w:val="1F3A5F"/>
                <w:rtl/>
                <w:bCs/>
              </w:rPr>
              <w:t>נכון</w:t>
            </w:r>
          </w:p>
        </w:tc>
        <w:tc>
          <w:tcPr>
            <w:tcW w:type="dxa" w:w="1361"/>
            <w:shd w:val="clear" w:color="auto" w:fill="EEF3F9"/>
          </w:tcPr>
          <w:p>
            <w:pPr>
              <w:bidi/>
            </w:pPr>
            <w:r>
              <w:rPr>
                <w:rFonts w:ascii="Rubik" w:hAnsi="Rubik" w:cs="Rubik"/>
                <w:b/>
                <w:color w:val="1F3A5F"/>
                <w:rtl/>
                <w:bCs/>
              </w:rPr>
              <w:t>לא נכון</w:t>
            </w:r>
          </w:p>
        </w:tc>
      </w:tr>
      <w:tr>
        <w:tc>
          <w:tcPr>
            <w:tcW w:type="dxa" w:w="7483"/>
          </w:tcPr>
          <w:p>
            <w:pPr>
              <w:bidi/>
            </w:pPr>
            <w:r>
              <w:rPr>
                <w:rFonts w:ascii="Rubik" w:hAnsi="Rubik" w:cs="Rubik"/>
                <w:rtl/>
              </w:rPr>
              <w:t>א. תושב קבע רשאי לבחור לכנסת.</w:t>
            </w:r>
          </w:p>
          <w:p>
            <w:pPr>
              <w:bidi/>
            </w:pPr>
            <w:r>
              <w:rPr>
                <w:rFonts w:ascii="Rubik" w:hAnsi="Rubik" w:cs="Rubik"/>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Rubik" w:hAnsi="Rubik" w:cs="Rubik"/>
                <w:rtl/>
              </w:rPr>
              <w:t>ב. הקשר בין האזרח למדינה הוא דו־כיווני.</w:t>
            </w:r>
          </w:p>
          <w:p>
            <w:pPr>
              <w:bidi/>
            </w:pPr>
            <w:r>
              <w:rPr>
                <w:rFonts w:ascii="Rubik" w:hAnsi="Rubik" w:cs="Rubik"/>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Rubik" w:hAnsi="Rubik" w:cs="Rubik"/>
                <w:rtl/>
              </w:rPr>
              <w:t>ג. לאזרח יש זכויות בלבד, והחובות מוטלות רק על המדינה.</w:t>
            </w:r>
          </w:p>
          <w:p>
            <w:pPr>
              <w:bidi/>
            </w:pPr>
            <w:r>
              <w:rPr>
                <w:rFonts w:ascii="Rubik" w:hAnsi="Rubik" w:cs="Rubik"/>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Rubik" w:hAnsi="Rubik" w:cs="Rubik"/>
                <w:rtl/>
              </w:rPr>
              <w:t>ד. הכרה בין־לאומית מחזקת את מעמדה של מדינה.</w:t>
            </w:r>
          </w:p>
          <w:p>
            <w:pPr>
              <w:bidi/>
            </w:pPr>
            <w:r>
              <w:rPr>
                <w:rFonts w:ascii="Rubik" w:hAnsi="Rubik" w:cs="Rubik"/>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Rubik" w:hAnsi="Rubik" w:cs="Rubik"/>
          <w:b/>
          <w:color w:val="1F3A5F"/>
          <w:rtl/>
          <w:bCs/>
        </w:rPr>
        <w:t xml:space="preserve">5. </w:t>
      </w:r>
      <w:r>
        <w:rPr>
          <w:rFonts w:ascii="Rubik" w:hAnsi="Rubik" w:cs="Rubik"/>
          <w:b/>
          <w:rtl/>
          <w:bCs/>
        </w:rPr>
        <w:t>השלימו את הפסקה בעזרת המילים שבמחסן:</w:t>
      </w:r>
    </w:p>
    <w:p>
      <w:pPr>
        <w:bidi/>
        <w:spacing w:after="80" w:before="0"/>
      </w:pPr>
      <w:r>
        <w:rPr>
          <w:rFonts w:ascii="Rubik" w:hAnsi="Rubik" w:cs="Rubik"/>
          <w:b/>
          <w:color w:val="E07A2E"/>
          <w:sz w:val="21"/>
          <w:rtl/>
          <w:bCs/>
          <w:szCs w:val="21"/>
        </w:rPr>
        <w:t>מחסן מילים: חובות  |  ריבונות  |  זכויות  |  שייכות  |  טריטוריה</w:t>
      </w:r>
    </w:p>
    <w:p>
      <w:pPr>
        <w:bidi/>
        <w:spacing w:after="120" w:before="0"/>
      </w:pPr>
      <w:r>
        <w:rPr>
          <w:rFonts w:ascii="Rubik" w:hAnsi="Rubik" w:cs="Rubik"/>
          <w:rtl/>
        </w:rPr>
        <w:t>מדינה זקוקה ל־ (1) ________  עם גבולות, לאוכלוסייה ולשלטון בעל  (2) ________ . האזרח נהנה מ־ (3) ________ , כמו הזכות לבחור, ומקיים  (4) ________ , כמו ציות לחוק. מעבר למעמד המשפטי, אזרחות כוללת גם תחושת  (5) ________  למדינה.</w:t>
      </w:r>
    </w:p>
    <w:p>
      <w:pPr>
        <w:keepNext/>
        <w:bidi/>
        <w:spacing w:after="80" w:before="160"/>
      </w:pPr>
      <w:r>
        <w:rPr>
          <w:rFonts w:ascii="Rubik" w:hAnsi="Rubik" w:cs="Rubik"/>
          <w:b/>
          <w:color w:val="1F3A5F"/>
          <w:rtl/>
          <w:bCs/>
        </w:rPr>
        <w:t xml:space="preserve">6. </w:t>
      </w:r>
      <w:r>
        <w:rPr>
          <w:rFonts w:ascii="Rubik" w:hAnsi="Rubik" w:cs="Rubik"/>
          <w:b/>
          <w:rtl/>
          <w:bCs/>
        </w:rPr>
        <w:t>ציינו שתי זכויות ושתי חובות של אזרח במדינת ישראל.</w:t>
      </w:r>
    </w:p>
    <w:p>
      <w:pPr>
        <w:bidi/>
        <w:spacing w:after="120" w:before="0"/>
      </w:pPr>
      <w:r>
        <w:rPr>
          <w:rFonts w:ascii="Rubik" w:hAnsi="Rubik" w:cs="Rubik"/>
          <w:color w:val="9AAAAA"/>
          <w:sz w:val="18"/>
          <w:rtl/>
          <w:szCs w:val="18"/>
        </w:rPr>
        <w:t>______________________________________________________________________________________</w:t>
      </w:r>
    </w:p>
    <w:p>
      <w:pPr>
        <w:bidi/>
        <w:spacing w:after="120" w:before="0"/>
      </w:pPr>
      <w:r>
        <w:rPr>
          <w:rFonts w:ascii="Rubik" w:hAnsi="Rubik" w:cs="Rubik"/>
          <w:color w:val="9AAAAA"/>
          <w:sz w:val="18"/>
          <w:rtl/>
          <w:szCs w:val="18"/>
        </w:rPr>
        <w:t>______________________________________________________________________________________</w:t>
      </w:r>
    </w:p>
    <w:p>
      <w:pPr>
        <w:bidi/>
        <w:spacing w:after="120" w:before="0"/>
      </w:pPr>
      <w:r>
        <w:rPr>
          <w:rFonts w:ascii="Rubik" w:hAnsi="Rubik" w:cs="Rubik"/>
          <w:color w:val="9AAAAA"/>
          <w:sz w:val="18"/>
          <w:rtl/>
          <w:szCs w:val="18"/>
        </w:rPr>
        <w:t>______________________________________________________________________________________</w:t>
      </w:r>
    </w:p>
    <w:p>
      <w:pPr>
        <w:keepNext/>
        <w:bidi/>
        <w:spacing w:after="80" w:before="160"/>
      </w:pPr>
      <w:r>
        <w:rPr>
          <w:rFonts w:ascii="Rubik" w:hAnsi="Rubik" w:cs="Rubik"/>
          <w:b/>
          <w:color w:val="1F3A5F"/>
          <w:rtl/>
          <w:bCs/>
        </w:rPr>
        <w:t xml:space="preserve">7. </w:t>
      </w:r>
      <w:r>
        <w:rPr>
          <w:rFonts w:ascii="Rubik" w:hAnsi="Rubik" w:cs="Rubik"/>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EEF3F9"/>
          </w:tcPr>
          <w:p>
            <w:pPr>
              <w:bidi/>
            </w:pPr>
            <w:r>
              <w:rPr>
                <w:rFonts w:ascii="Rubik" w:hAnsi="Rubik" w:cs="Rubik"/>
                <w:rtl/>
              </w:rPr>
              <w:t>בשכונה של מאיה נסגר גן השעשועים בגלל מתקנים שבורים. מאיה ושני חברים כתבו מכתב לעירייה, אספו חתימות של תושבים והציגו את הבקשה בישיבה פתוחה של מועצת העיר. אחרי חודשיים שופץ הגן.</w:t>
            </w:r>
          </w:p>
        </w:tc>
      </w:tr>
    </w:tbl>
    <w:p>
      <w:pPr>
        <w:bidi/>
        <w:spacing w:after="20" w:before="0"/>
        <w:ind w:right="227"/>
      </w:pPr>
      <w:r>
        <w:rPr>
          <w:rFonts w:ascii="Rubik" w:hAnsi="Rubik" w:cs="Rubik"/>
          <w:rtl/>
        </w:rPr>
        <w:t>א. איזה היבט של אזרחות בא לידי ביטוי במעשיהם של מאיה וחבריה? הסבירו.</w:t>
      </w:r>
    </w:p>
    <w:p>
      <w:pPr>
        <w:bidi/>
        <w:spacing w:after="120" w:before="0"/>
      </w:pPr>
      <w:r>
        <w:rPr>
          <w:rFonts w:ascii="Rubik" w:hAnsi="Rubik" w:cs="Rubik"/>
          <w:color w:val="9AAAAA"/>
          <w:sz w:val="18"/>
          <w:rtl/>
          <w:szCs w:val="18"/>
        </w:rPr>
        <w:t>______________________________________________________________________________________</w:t>
      </w:r>
    </w:p>
    <w:p>
      <w:pPr>
        <w:bidi/>
        <w:spacing w:after="120" w:before="0"/>
      </w:pPr>
      <w:r>
        <w:rPr>
          <w:rFonts w:ascii="Rubik" w:hAnsi="Rubik" w:cs="Rubik"/>
          <w:color w:val="9AAAAA"/>
          <w:sz w:val="18"/>
          <w:rtl/>
          <w:szCs w:val="18"/>
        </w:rPr>
        <w:t>______________________________________________________________________________________</w:t>
      </w:r>
    </w:p>
    <w:p>
      <w:pPr>
        <w:bidi/>
        <w:spacing w:after="20" w:before="0"/>
        <w:ind w:right="227"/>
      </w:pPr>
      <w:r>
        <w:rPr>
          <w:rFonts w:ascii="Rubik" w:hAnsi="Rubik" w:cs="Rubik"/>
          <w:rtl/>
        </w:rPr>
        <w:t>ב. מה היה תפקיד השלטון (העירייה) במקרה הזה?</w:t>
      </w:r>
    </w:p>
    <w:p>
      <w:pPr>
        <w:bidi/>
        <w:spacing w:after="120" w:before="0"/>
      </w:pPr>
      <w:r>
        <w:rPr>
          <w:rFonts w:ascii="Rubik" w:hAnsi="Rubik" w:cs="Rubik"/>
          <w:color w:val="9AAAAA"/>
          <w:sz w:val="18"/>
          <w:rtl/>
          <w:szCs w:val="18"/>
        </w:rPr>
        <w:t>______________________________________________________________________________________</w:t>
      </w:r>
    </w:p>
    <w:p>
      <w:pPr>
        <w:bidi/>
        <w:spacing w:after="120" w:before="0"/>
      </w:pPr>
      <w:r>
        <w:rPr>
          <w:rFonts w:ascii="Rubik" w:hAnsi="Rubik" w:cs="Rubik"/>
          <w:color w:val="9AAAAA"/>
          <w:sz w:val="18"/>
          <w:rtl/>
          <w:szCs w:val="18"/>
        </w:rPr>
        <w:t>______________________________________________________________________________________</w:t>
      </w:r>
    </w:p>
    <w:p>
      <w:pPr>
        <w:bidi/>
        <w:spacing w:after="20" w:before="0"/>
        <w:ind w:right="227"/>
      </w:pPr>
      <w:r>
        <w:rPr>
          <w:rFonts w:ascii="Rubik" w:hAnsi="Rubik" w:cs="Rubik"/>
          <w:rtl/>
        </w:rPr>
        <w:t>ג. מה המקרה מלמד על יחסי הגומלין בין האזרח למדינה?</w:t>
      </w:r>
    </w:p>
    <w:p>
      <w:pPr>
        <w:bidi/>
        <w:spacing w:after="120" w:before="0"/>
      </w:pPr>
      <w:r>
        <w:rPr>
          <w:rFonts w:ascii="Rubik" w:hAnsi="Rubik" w:cs="Rubik"/>
          <w:color w:val="9AAAAA"/>
          <w:sz w:val="18"/>
          <w:rtl/>
          <w:szCs w:val="18"/>
        </w:rPr>
        <w:t>______________________________________________________________________________________</w:t>
      </w:r>
    </w:p>
    <w:p>
      <w:pPr>
        <w:bidi/>
        <w:spacing w:after="120" w:before="0"/>
      </w:pPr>
      <w:r>
        <w:rPr>
          <w:rFonts w:ascii="Rubik" w:hAnsi="Rubik" w:cs="Rubik"/>
          <w:color w:val="9AAAAA"/>
          <w:sz w:val="18"/>
          <w:rtl/>
          <w:szCs w:val="18"/>
        </w:rPr>
        <w:t>______________________________________________________________________________________</w:t>
      </w:r>
    </w:p>
    <w:p>
      <w:pPr>
        <w:keepNext/>
        <w:bidi/>
        <w:spacing w:after="80" w:before="160"/>
      </w:pPr>
      <w:r>
        <w:rPr>
          <w:rFonts w:ascii="Rubik" w:hAnsi="Rubik" w:cs="Rubik"/>
          <w:b/>
          <w:color w:val="1F3A5F"/>
          <w:rtl/>
          <w:bCs/>
        </w:rPr>
        <w:t xml:space="preserve">8. </w:t>
      </w:r>
      <w:r>
        <w:rPr>
          <w:rFonts w:ascii="Rubik" w:hAnsi="Rubik" w:cs="Rubik"/>
          <w:b/>
          <w:rtl/>
          <w:bCs/>
        </w:rPr>
        <w:t>«אזרח טוב הוא אזרח שמקיים את החוק – וזהו». האם אתם מסכימים? נמקו בעזרת אחד ההיבטים של אזרחות.</w:t>
      </w:r>
    </w:p>
    <w:p>
      <w:pPr>
        <w:bidi/>
        <w:spacing w:after="120" w:before="0"/>
      </w:pPr>
      <w:r>
        <w:rPr>
          <w:rFonts w:ascii="Rubik" w:hAnsi="Rubik" w:cs="Rubik"/>
          <w:color w:val="9AAAAA"/>
          <w:sz w:val="18"/>
          <w:rtl/>
          <w:szCs w:val="18"/>
        </w:rPr>
        <w:t>______________________________________________________________________________________</w:t>
      </w:r>
    </w:p>
    <w:p>
      <w:pPr>
        <w:bidi/>
        <w:spacing w:after="120" w:before="0"/>
      </w:pPr>
      <w:r>
        <w:rPr>
          <w:rFonts w:ascii="Rubik" w:hAnsi="Rubik" w:cs="Rubik"/>
          <w:color w:val="9AAAAA"/>
          <w:sz w:val="18"/>
          <w:rtl/>
          <w:szCs w:val="18"/>
        </w:rPr>
        <w:t>______________________________________________________________________________________</w:t>
      </w:r>
    </w:p>
    <w:p>
      <w:pPr>
        <w:bidi/>
        <w:spacing w:after="120" w:before="0"/>
      </w:pPr>
      <w:r>
        <w:rPr>
          <w:rFonts w:ascii="Rubik" w:hAnsi="Rubik" w:cs="Rubik"/>
          <w:color w:val="9AAAAA"/>
          <w:sz w:val="18"/>
          <w:rtl/>
          <w:szCs w:val="18"/>
        </w:rPr>
        <w:t>______________________________________________________________________________________</w:t>
      </w:r>
    </w:p>
    <w:p>
      <w:pPr>
        <w:bidi/>
        <w:spacing w:after="120" w:before="0"/>
      </w:pPr>
      <w:r>
        <w:rPr>
          <w:rFonts w:ascii="Rubik" w:hAnsi="Rubik" w:cs="Rubik"/>
          <w:color w:val="9AAAAA"/>
          <w:sz w:val="18"/>
          <w:rtl/>
          <w:szCs w:val="18"/>
        </w:rPr>
        <w:t>______________________________________________________________________________________</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Rubik" w:hAnsi="Rubik" w:cs="Rubik" w:eastAsia="Rubik"/>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