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B8860B"/>
          </w:tcPr>
          <w:p>
            <w:pPr>
              <w:bidi/>
              <w:jc w:val="center"/>
            </w:pPr>
            <w:r>
              <w:rPr>
                <w:rFonts w:ascii="David Libre" w:hAnsi="David Libre" w:cs="David Libre"/>
                <w:b/>
                <w:color w:val="FFFFFF"/>
                <w:sz w:val="48"/>
                <w:rtl/>
                <w:bCs/>
                <w:szCs w:val="48"/>
              </w:rPr>
              <w:t>2</w:t>
            </w:r>
          </w:p>
        </w:tc>
        <w:tc>
          <w:tcPr>
            <w:tcW w:type="dxa" w:w="8617"/>
            <w:shd w:val="clear" w:color="auto" w:fill="6B3E1F"/>
          </w:tcPr>
          <w:p>
            <w:pPr>
              <w:bidi/>
              <w:jc w:val="both"/>
            </w:pPr>
            <w:r>
              <w:rPr>
                <w:rFonts w:ascii="David Libre" w:hAnsi="David Libre" w:cs="David Libre"/>
                <w:b/>
                <w:color w:val="FFFFFF"/>
                <w:sz w:val="40"/>
                <w:rtl/>
                <w:bCs/>
                <w:szCs w:val="40"/>
              </w:rPr>
              <w:t>מגילת העצמאות</w:t>
            </w:r>
          </w:p>
          <w:p>
            <w:pPr>
              <w:bidi/>
              <w:jc w:val="both"/>
            </w:pPr>
            <w:r>
              <w:rPr>
                <w:rFonts w:ascii="Frank Ruhl Libre" w:hAnsi="Frank Ruhl Libre" w:cs="Frank Ruhl Libre"/>
                <w:color w:val="FFFFFF"/>
                <w:sz w:val="20"/>
                <w:rtl/>
                <w:szCs w:val="20"/>
              </w:rPr>
              <w:t>דף סיכום ולמידה · המסמך המכונן של מדינת ישראל: רקע, הצדקות, עקרונות ופניות · אזרחות כיתה ט'</w:t>
            </w:r>
          </w:p>
        </w:tc>
      </w:tr>
    </w:tbl>
    <w:p>
      <w:pPr>
        <w:bidi/>
        <w:spacing w:after="40" w:before="0"/>
        <w:jc w:val="both"/>
      </w:pPr>
    </w:p>
    <w:p>
      <w:pPr>
        <w:bidi/>
        <w:jc w:val="center"/>
      </w:pPr>
      <w:r>
        <w:drawing>
          <wp:inline xmlns:a="http://schemas.openxmlformats.org/drawingml/2006/main" xmlns:pic="http://schemas.openxmlformats.org/drawingml/2006/picture">
            <wp:extent cx="5400000" cy="5546362"/>
            <wp:docPr id="1" name="Picture 1"/>
            <wp:cNvGraphicFramePr>
              <a:graphicFrameLocks noChangeAspect="1"/>
            </wp:cNvGraphicFramePr>
            <a:graphic>
              <a:graphicData uri="http://schemas.openxmlformats.org/drawingml/2006/picture">
                <pic:pic>
                  <pic:nvPicPr>
                    <pic:cNvPr id="0" name="t2.jpg"/>
                    <pic:cNvPicPr/>
                  </pic:nvPicPr>
                  <pic:blipFill>
                    <a:blip r:embed="rId10"/>
                    <a:stretch>
                      <a:fillRect/>
                    </a:stretch>
                  </pic:blipFill>
                  <pic:spPr>
                    <a:xfrm>
                      <a:off x="0" y="0"/>
                      <a:ext cx="5400000" cy="5546362"/>
                    </a:xfrm>
                    <a:prstGeom prst="rect"/>
                  </pic:spPr>
                </pic:pic>
              </a:graphicData>
            </a:graphic>
          </wp:inline>
        </w:drawing>
      </w:r>
    </w:p>
    <w:p>
      <w:pPr>
        <w:bidi/>
        <w:spacing w:after="80" w:before="0"/>
        <w:jc w:val="both"/>
      </w:pPr>
      <w:r>
        <w:rPr>
          <w:rFonts w:ascii="Frank Ruhl Libre" w:hAnsi="Frank Ruhl Libre" w:cs="Frank Ruhl Libre"/>
          <w:b/>
          <w:color w:val="6B3E1F"/>
          <w:rtl/>
          <w:bCs/>
        </w:rPr>
        <w:t xml:space="preserve">מה נלמד? </w:t>
      </w:r>
      <w:r>
        <w:rPr>
          <w:rFonts w:ascii="Frank Ruhl Libre" w:hAnsi="Frank Ruhl Libre" w:cs="Frank Ruhl Libre"/>
          <w:sz w:val="21"/>
          <w:rtl/>
          <w:szCs w:val="21"/>
        </w:rPr>
        <w:t>להכיר את הרקע ההיסטורי להכרזה על הקמת המדינה · לזהות את חלקי המגילה ואת ההצדקות להקמת המדינה · להבין כיצד המגילה מבטאת את אופייה של ישראל כמדינה יהודית ודמוקרטית · להבין את מעמדה של המגילה ולדון ב«חזון מול מציאות»</w:t>
      </w:r>
    </w:p>
    <w:tbl>
      <w:tblPr>
        <w:tblStyle w:val="TableGrid"/>
        <w:tblW w:type="auto" w:w="0"/>
        <w:tblLook w:firstColumn="1" w:firstRow="1" w:lastColumn="0" w:lastRow="0" w:noHBand="0" w:noVBand="1" w:val="04A0"/>
        <w:bidiVisual/>
      </w:tblPr>
      <w:tblGrid>
        <w:gridCol w:w="9866"/>
      </w:tblGrid>
      <w:tr>
        <w:tc>
          <w:tcPr>
            <w:tcW w:type="dxa" w:w="9866"/>
            <w:shd w:val="clear" w:color="auto" w:fill="FBF4E6"/>
          </w:tcPr>
          <w:p>
            <w:pPr>
              <w:bidi/>
              <w:jc w:val="both"/>
            </w:pPr>
            <w:r>
              <w:rPr>
                <w:rFonts w:ascii="Frank Ruhl Libre" w:hAnsi="Frank Ruhl Libre" w:cs="Frank Ruhl Libre"/>
                <w:rtl/>
              </w:rPr>
              <w:t>ביום שישי, ה' באייר תש"ח (14 במאי 1948), כמה שעות לפני סיום המנדט הבריטי, התכנסה מועצת העם בתל אביב, ודוד בן־גוריון קרא את ההכרזה על הקמת מדינת ישראל. המסמך – שנקרא בפינו «מגילת העצמאות» – הוא המסמך המכונן של המדינה: הוא מסביר מדוע קמה המדינה, מכריז על הקמתה ומשרטט את דמותה כמדינה יהודית ודמוקרטית.</w:t>
            </w:r>
          </w:p>
        </w:tc>
      </w:tr>
    </w:tbl>
    <w:p>
      <w:pPr>
        <w:keepNext/>
        <w:bidi/>
        <w:spacing w:after="60" w:before="160"/>
        <w:jc w:val="both"/>
      </w:pPr>
      <w:r>
        <w:rPr>
          <w:rFonts w:ascii="David Libre" w:hAnsi="David Libre" w:cs="David Libre"/>
          <w:b/>
          <w:color w:val="6B3E1F"/>
          <w:sz w:val="30"/>
          <w:rtl/>
          <w:bCs/>
          <w:szCs w:val="30"/>
        </w:rPr>
        <w:t>רקע היסטורי בקצרה</w:t>
      </w:r>
    </w:p>
    <w:p>
      <w:pPr>
        <w:bidi/>
        <w:spacing w:after="40" w:before="0"/>
        <w:ind w:right="227"/>
        <w:jc w:val="both"/>
      </w:pPr>
      <w:r>
        <w:rPr>
          <w:rFonts w:ascii="Frank Ruhl Libre" w:hAnsi="Frank Ruhl Libre" w:cs="Frank Ruhl Libre"/>
          <w:rtl/>
        </w:rPr>
        <w:t>• 1897 – הקונגרס הציוני הראשון בבאזל, בהנהגת הרצל.</w:t>
      </w:r>
    </w:p>
    <w:p>
      <w:pPr>
        <w:bidi/>
        <w:spacing w:after="40" w:before="0"/>
        <w:ind w:right="227"/>
        <w:jc w:val="both"/>
      </w:pPr>
      <w:r>
        <w:rPr>
          <w:rFonts w:ascii="Frank Ruhl Libre" w:hAnsi="Frank Ruhl Libre" w:cs="Frank Ruhl Libre"/>
          <w:rtl/>
        </w:rPr>
        <w:t>• 1917 – הצהרת בלפור: בריטניה מכירה בזכות העם היהודי לבית לאומי בארץ ישראל.</w:t>
      </w:r>
    </w:p>
    <w:p>
      <w:pPr>
        <w:bidi/>
        <w:spacing w:after="40" w:before="0"/>
        <w:ind w:right="227"/>
        <w:jc w:val="both"/>
      </w:pPr>
      <w:r>
        <w:rPr>
          <w:rFonts w:ascii="Frank Ruhl Libre" w:hAnsi="Frank Ruhl Libre" w:cs="Frank Ruhl Libre"/>
          <w:rtl/>
        </w:rPr>
        <w:t>• 1922 – כתב המנדט של חבר הלאומים נותן להכרה תוקף בין־לאומי.</w:t>
      </w:r>
    </w:p>
    <w:p>
      <w:pPr>
        <w:bidi/>
        <w:spacing w:after="40" w:before="0"/>
        <w:ind w:right="227"/>
        <w:jc w:val="both"/>
      </w:pPr>
      <w:r>
        <w:rPr>
          <w:rFonts w:ascii="Frank Ruhl Libre" w:hAnsi="Frank Ruhl Libre" w:cs="Frank Ruhl Libre"/>
          <w:rtl/>
        </w:rPr>
        <w:t>• שואת יהודי אירופה מוכיחה את ההכרח בבית לאומי.</w:t>
      </w:r>
    </w:p>
    <w:p>
      <w:pPr>
        <w:bidi/>
        <w:spacing w:after="40" w:before="0"/>
        <w:ind w:right="227"/>
        <w:jc w:val="both"/>
      </w:pPr>
      <w:r>
        <w:rPr>
          <w:rFonts w:ascii="Frank Ruhl Libre" w:hAnsi="Frank Ruhl Libre" w:cs="Frank Ruhl Libre"/>
          <w:rtl/>
        </w:rPr>
        <w:t>• 29 בנובמבר 1947 – עצרת האו"ם מחליטה על הקמת מדינה יהודית בארץ ישראל.</w:t>
      </w:r>
    </w:p>
    <w:p>
      <w:pPr>
        <w:bidi/>
        <w:spacing w:after="40" w:before="0"/>
        <w:ind w:right="227"/>
        <w:jc w:val="both"/>
      </w:pPr>
      <w:r>
        <w:rPr>
          <w:rFonts w:ascii="Frank Ruhl Libre" w:hAnsi="Frank Ruhl Libre" w:cs="Frank Ruhl Libre"/>
          <w:rtl/>
        </w:rPr>
        <w:t>• 14 במאי 1948 – ההכרזה על הקמת המדינה.</w:t>
      </w:r>
    </w:p>
    <w:p>
      <w:pPr>
        <w:keepNext/>
        <w:bidi/>
        <w:spacing w:after="60" w:before="160"/>
        <w:jc w:val="both"/>
      </w:pPr>
      <w:r>
        <w:rPr>
          <w:rFonts w:ascii="David Libre" w:hAnsi="David Libre" w:cs="David Libre"/>
          <w:b/>
          <w:color w:val="6B3E1F"/>
          <w:sz w:val="30"/>
          <w:rtl/>
          <w:bCs/>
          <w:szCs w:val="30"/>
        </w:rPr>
        <w:t>חלקי המגילה</w:t>
      </w:r>
    </w:p>
    <w:p>
      <w:pPr>
        <w:bidi/>
        <w:spacing w:after="40" w:before="0"/>
        <w:ind w:right="227"/>
        <w:jc w:val="both"/>
      </w:pPr>
      <w:r>
        <w:rPr>
          <w:rFonts w:ascii="Frank Ruhl Libre" w:hAnsi="Frank Ruhl Libre" w:cs="Frank Ruhl Libre"/>
          <w:rtl/>
        </w:rPr>
        <w:t>• הפתיחה ההיסטורית – ההצדקות להקמת המדינה.</w:t>
      </w:r>
    </w:p>
    <w:p>
      <w:pPr>
        <w:bidi/>
        <w:spacing w:after="40" w:before="0"/>
        <w:ind w:right="227"/>
        <w:jc w:val="both"/>
      </w:pPr>
      <w:r>
        <w:rPr>
          <w:rFonts w:ascii="Frank Ruhl Libre" w:hAnsi="Frank Ruhl Libre" w:cs="Frank Ruhl Libre"/>
          <w:rtl/>
        </w:rPr>
        <w:t>• ההכרזה – «אנו מכריזים בזאת על הקמת מדינה יהודית בארץ־ישראל, היא מדינת ישראל» – וקביעת מוסדות השלטון הזמניים.</w:t>
      </w:r>
    </w:p>
    <w:p>
      <w:pPr>
        <w:bidi/>
        <w:spacing w:after="40" w:before="0"/>
        <w:ind w:right="227"/>
        <w:jc w:val="both"/>
      </w:pPr>
      <w:r>
        <w:rPr>
          <w:rFonts w:ascii="Frank Ruhl Libre" w:hAnsi="Frank Ruhl Libre" w:cs="Frank Ruhl Libre"/>
          <w:rtl/>
        </w:rPr>
        <w:t>• עקרונות היסוד – חזון המדינה ואופייה.</w:t>
      </w:r>
    </w:p>
    <w:p>
      <w:pPr>
        <w:bidi/>
        <w:spacing w:after="40" w:before="0"/>
        <w:ind w:right="227"/>
        <w:jc w:val="both"/>
      </w:pPr>
      <w:r>
        <w:rPr>
          <w:rFonts w:ascii="Frank Ruhl Libre" w:hAnsi="Frank Ruhl Libre" w:cs="Frank Ruhl Libre"/>
          <w:rtl/>
        </w:rPr>
        <w:t>• הפניות (הקריאות) – לאו"ם, לערביי המדינה, למדינות השכנות ולעם היהודי בתפוצות.</w:t>
      </w:r>
    </w:p>
    <w:p>
      <w:pPr>
        <w:bidi/>
        <w:spacing w:after="40" w:before="0"/>
        <w:ind w:right="227"/>
        <w:jc w:val="both"/>
      </w:pPr>
      <w:r>
        <w:rPr>
          <w:rFonts w:ascii="Frank Ruhl Libre" w:hAnsi="Frank Ruhl Libre" w:cs="Frank Ruhl Libre"/>
          <w:rtl/>
        </w:rPr>
        <w:t>• החתימה – «מתוך בטחון בצור ישראל», 37 חותמים.</w:t>
      </w:r>
    </w:p>
    <w:p>
      <w:pPr>
        <w:keepNext/>
        <w:bidi/>
        <w:spacing w:after="60" w:before="160"/>
        <w:jc w:val="both"/>
      </w:pPr>
      <w:r>
        <w:rPr>
          <w:rFonts w:ascii="David Libre" w:hAnsi="David Libre" w:cs="David Libre"/>
          <w:b/>
          <w:color w:val="6B3E1F"/>
          <w:sz w:val="30"/>
          <w:rtl/>
          <w:bCs/>
          <w:szCs w:val="30"/>
        </w:rPr>
        <w:t>ההצדקות להקמת המדינה</w:t>
      </w:r>
    </w:p>
    <w:p>
      <w:pPr>
        <w:bidi/>
        <w:spacing w:after="40" w:before="0"/>
        <w:ind w:right="227"/>
        <w:jc w:val="both"/>
      </w:pPr>
      <w:r>
        <w:rPr>
          <w:rFonts w:ascii="Frank Ruhl Libre" w:hAnsi="Frank Ruhl Libre" w:cs="Frank Ruhl Libre"/>
          <w:rtl/>
        </w:rPr>
        <w:t>• הצדקה היסטורית – הקשר של העם היהודי לארץ: «בארץ־ישראל קם העם היהודי».</w:t>
      </w:r>
    </w:p>
    <w:p>
      <w:pPr>
        <w:bidi/>
        <w:spacing w:after="40" w:before="0"/>
        <w:ind w:right="227"/>
        <w:jc w:val="both"/>
      </w:pPr>
      <w:r>
        <w:rPr>
          <w:rFonts w:ascii="Frank Ruhl Libre" w:hAnsi="Frank Ruhl Libre" w:cs="Frank Ruhl Libre"/>
          <w:rtl/>
        </w:rPr>
        <w:t>• הצדקה מדינית־בין־לאומית – הצהרת בלפור, כתב המנדט והחלטת האו"ם.</w:t>
      </w:r>
    </w:p>
    <w:p>
      <w:pPr>
        <w:bidi/>
        <w:spacing w:after="40" w:before="0"/>
        <w:ind w:right="227"/>
        <w:jc w:val="both"/>
      </w:pPr>
      <w:r>
        <w:rPr>
          <w:rFonts w:ascii="Frank Ruhl Libre" w:hAnsi="Frank Ruhl Libre" w:cs="Frank Ruhl Libre"/>
          <w:rtl/>
        </w:rPr>
        <w:t>• הצדקה מוסרית־קיומית – השואה הוכיחה שהעם היהודי זקוק למדינה ריבונית.</w:t>
      </w:r>
    </w:p>
    <w:p>
      <w:pPr>
        <w:bidi/>
        <w:spacing w:after="40" w:before="0"/>
        <w:ind w:right="227"/>
        <w:jc w:val="both"/>
      </w:pPr>
      <w:r>
        <w:rPr>
          <w:rFonts w:ascii="Frank Ruhl Libre" w:hAnsi="Frank Ruhl Libre" w:cs="Frank Ruhl Libre"/>
          <w:rtl/>
        </w:rPr>
        <w:t>• הצדקה טבעית – «זוהי זכותו הטבעית של העם היהודי להיות ככל עם ועם עומד ברשות עצמו».</w:t>
      </w:r>
    </w:p>
    <w:p>
      <w:pPr>
        <w:bidi/>
        <w:spacing w:after="40" w:before="0"/>
        <w:ind w:right="227"/>
        <w:jc w:val="both"/>
      </w:pPr>
      <w:r>
        <w:rPr>
          <w:rFonts w:ascii="Frank Ruhl Libre" w:hAnsi="Frank Ruhl Libre" w:cs="Frank Ruhl Libre"/>
          <w:rtl/>
        </w:rPr>
        <w:t>• תרומת היישוב – ההתיישבות, בניין הארץ וההשתתפות במלחמה בנאצים.</w:t>
      </w:r>
    </w:p>
    <w:p>
      <w:pPr>
        <w:keepNext/>
        <w:bidi/>
        <w:spacing w:after="60" w:before="160"/>
        <w:jc w:val="both"/>
      </w:pPr>
      <w:r>
        <w:rPr>
          <w:rFonts w:ascii="David Libre" w:hAnsi="David Libre" w:cs="David Libre"/>
          <w:b/>
          <w:color w:val="6B3E1F"/>
          <w:sz w:val="30"/>
          <w:rtl/>
          <w:bCs/>
          <w:szCs w:val="30"/>
        </w:rPr>
        <w:t>יהודית ודמוקרטית – במגילה עצמה</w:t>
      </w:r>
    </w:p>
    <w:p>
      <w:pPr>
        <w:bidi/>
        <w:spacing w:after="80" w:before="0"/>
        <w:jc w:val="both"/>
      </w:pPr>
      <w:r>
        <w:rPr>
          <w:rFonts w:ascii="Frank Ruhl Libre" w:hAnsi="Frank Ruhl Libre" w:cs="Frank Ruhl Libre"/>
          <w:rtl/>
        </w:rPr>
        <w:t>המגילה מגדירה את ישראל «מדינה יהודית» הפתוחה «לעליה יהודית ולקיבוץ גלויות», ובאותה פסקה היא מתחייבת ל«שויון זכויות חברתי ומדיני גמור לכל אזרחיה בלי הבדל דת, גזע ומין» ול«חופש דת, מצפון, לשון, חינוך ותרבות». שני הצדדים – הלאומי־יהודי והדמוקרטי – מופיעים בה יחד.</w:t>
      </w:r>
    </w:p>
    <w:p>
      <w:pPr>
        <w:keepNext/>
        <w:bidi/>
        <w:spacing w:after="60" w:before="160"/>
        <w:jc w:val="both"/>
      </w:pPr>
      <w:r>
        <w:rPr>
          <w:rFonts w:ascii="David Libre" w:hAnsi="David Libre" w:cs="David Libre"/>
          <w:b/>
          <w:color w:val="6B3E1F"/>
          <w:sz w:val="30"/>
          <w:rtl/>
          <w:bCs/>
          <w:szCs w:val="30"/>
        </w:rPr>
        <w:t>מעמד המגילה</w:t>
      </w:r>
    </w:p>
    <w:p>
      <w:pPr>
        <w:bidi/>
        <w:spacing w:after="80" w:before="0"/>
        <w:jc w:val="both"/>
      </w:pPr>
      <w:r>
        <w:rPr>
          <w:rFonts w:ascii="Frank Ruhl Libre" w:hAnsi="Frank Ruhl Libre" w:cs="Frank Ruhl Libre"/>
          <w:rtl/>
        </w:rPr>
        <w:t>המגילה איננה חוק ואיננה חוקה, ולכן בתי המשפט לא פסלו חוקים בגללה. עם זאת, בית המשפט העליון קבע (בג"ץ «קול העם», 1953) שיש להיעזר בעקרונותיה בפירוש החוקים, וחוק יסוד: כבוד האדם וחירותו (1992, בתיקון משנת 1994) קובע שזכויות היסוד יכובדו «ברוח העקרונות שבהכרזה על הקמת מדינת ישראל». כך הפכה המגילה למסד ערכי משותף לרוב אזרחי המדינה.</w:t>
      </w:r>
    </w:p>
    <w:tbl>
      <w:tblPr>
        <w:tblStyle w:val="TableGrid"/>
        <w:tblW w:type="auto" w:w="0"/>
        <w:tblLook w:firstColumn="1" w:firstRow="1" w:lastColumn="0" w:lastRow="0" w:noHBand="0" w:noVBand="1" w:val="04A0"/>
        <w:bidiVisual/>
      </w:tblPr>
      <w:tblGrid>
        <w:gridCol w:w="9866"/>
      </w:tblGrid>
      <w:tr>
        <w:tc>
          <w:tcPr>
            <w:tcW w:type="dxa" w:w="9866"/>
            <w:shd w:val="clear" w:color="auto" w:fill="FFFDF6"/>
          </w:tcPr>
          <w:p>
            <w:pPr>
              <w:bidi/>
              <w:jc w:val="both"/>
            </w:pPr>
            <w:r>
              <w:rPr>
                <w:rFonts w:ascii="Frank Ruhl Libre" w:hAnsi="Frank Ruhl Libre" w:cs="Frank Ruhl Libre"/>
                <w:rtl/>
              </w:rPr>
              <w:t>«מדינת ישראל תהא פתוחה לעליה יהודית ולקיבוץ גלויות; תשקוד על פיתוח הארץ לטובת כל תושביה; תהא מושתתה על יסודות החירות, הצדק והשלום לאור חזונם של נביאי ישראל; תקיים שויון זכויות חברתי ומדיני גמור לכל אזרחיה בלי הבדל דת, גזע ומין; תבטיח חופש דת, מצפון, לשון, חינוך ותרבות; תשמור על המקומות הקדושים של כל הדתות; ותהיה נאמנה לעקרונותיה של מגילת האומות המאוחדות.»</w:t>
            </w:r>
          </w:p>
          <w:p>
            <w:pPr>
              <w:bidi/>
              <w:jc w:val="left"/>
            </w:pPr>
            <w:r>
              <w:rPr>
                <w:rFonts w:ascii="Frank Ruhl Libre" w:hAnsi="Frank Ruhl Libre" w:cs="Frank Ruhl Libre"/>
                <w:color w:val="666666"/>
                <w:sz w:val="19"/>
                <w:rtl/>
                <w:szCs w:val="19"/>
              </w:rPr>
              <w:t>— מתוך ההכרזה על הקמת מדינת ישראל, ה' באייר תש"ח</w:t>
            </w:r>
          </w:p>
        </w:tc>
      </w:tr>
    </w:tbl>
    <w:p>
      <w:pPr>
        <w:keepNext/>
        <w:bidi/>
        <w:spacing w:after="60" w:before="160"/>
        <w:jc w:val="both"/>
      </w:pPr>
      <w:r>
        <w:rPr>
          <w:rFonts w:ascii="David Libre" w:hAnsi="David Libre" w:cs="David Libre"/>
          <w:b/>
          <w:color w:val="6B3E1F"/>
          <w:sz w:val="30"/>
          <w:rtl/>
          <w:bCs/>
          <w:szCs w:val="30"/>
        </w:rPr>
        <w:t>מושגי מפתח</w:t>
      </w:r>
    </w:p>
    <w:tbl>
      <w:tblPr>
        <w:tblStyle w:val="TableGrid"/>
        <w:tblW w:type="auto" w:w="0"/>
        <w:tblLook w:firstColumn="1" w:firstRow="1" w:lastColumn="0" w:lastRow="0" w:noHBand="0" w:noVBand="1" w:val="04A0"/>
        <w:bidiVisual/>
      </w:tblPr>
      <w:tblGrid>
        <w:gridCol w:w="4933"/>
        <w:gridCol w:w="4933"/>
      </w:tblGrid>
      <w:tr>
        <w:tc>
          <w:tcPr>
            <w:tcW w:type="dxa" w:w="2268"/>
            <w:shd w:val="clear" w:color="auto" w:fill="FBF4E6"/>
          </w:tcPr>
          <w:p>
            <w:pPr>
              <w:bidi/>
              <w:jc w:val="both"/>
            </w:pPr>
            <w:r>
              <w:rPr>
                <w:rFonts w:ascii="Frank Ruhl Libre" w:hAnsi="Frank Ruhl Libre" w:cs="Frank Ruhl Libre"/>
                <w:b/>
                <w:color w:val="6B3E1F"/>
                <w:rtl/>
                <w:bCs/>
              </w:rPr>
              <w:t>מסמך מכונן</w:t>
            </w:r>
          </w:p>
        </w:tc>
        <w:tc>
          <w:tcPr>
            <w:tcW w:type="dxa" w:w="7597"/>
          </w:tcPr>
          <w:p>
            <w:pPr>
              <w:bidi/>
              <w:jc w:val="both"/>
            </w:pPr>
            <w:r>
              <w:rPr>
                <w:rFonts w:ascii="Frank Ruhl Libre" w:hAnsi="Frank Ruhl Libre" w:cs="Frank Ruhl Libre"/>
                <w:rtl/>
              </w:rPr>
              <w:t>מסמך יסוד שמגדיר את זהות המדינה וערכיה.</w:t>
            </w:r>
          </w:p>
        </w:tc>
      </w:tr>
      <w:tr>
        <w:tc>
          <w:tcPr>
            <w:tcW w:type="dxa" w:w="2268"/>
            <w:shd w:val="clear" w:color="auto" w:fill="FBF4E6"/>
          </w:tcPr>
          <w:p>
            <w:pPr>
              <w:bidi/>
              <w:jc w:val="both"/>
            </w:pPr>
            <w:r>
              <w:rPr>
                <w:rFonts w:ascii="Frank Ruhl Libre" w:hAnsi="Frank Ruhl Libre" w:cs="Frank Ruhl Libre"/>
                <w:b/>
                <w:color w:val="6B3E1F"/>
                <w:rtl/>
                <w:bCs/>
              </w:rPr>
              <w:t>מועצת העם</w:t>
            </w:r>
          </w:p>
        </w:tc>
        <w:tc>
          <w:tcPr>
            <w:tcW w:type="dxa" w:w="7597"/>
          </w:tcPr>
          <w:p>
            <w:pPr>
              <w:bidi/>
              <w:jc w:val="both"/>
            </w:pPr>
            <w:r>
              <w:rPr>
                <w:rFonts w:ascii="Frank Ruhl Libre" w:hAnsi="Frank Ruhl Libre" w:cs="Frank Ruhl Libre"/>
                <w:rtl/>
              </w:rPr>
              <w:t>נציגי היישוב והתנועה הציונית שהכריזו על הקמת המדינה.</w:t>
            </w:r>
          </w:p>
        </w:tc>
      </w:tr>
      <w:tr>
        <w:tc>
          <w:tcPr>
            <w:tcW w:type="dxa" w:w="2268"/>
            <w:shd w:val="clear" w:color="auto" w:fill="FBF4E6"/>
          </w:tcPr>
          <w:p>
            <w:pPr>
              <w:bidi/>
              <w:jc w:val="both"/>
            </w:pPr>
            <w:r>
              <w:rPr>
                <w:rFonts w:ascii="Frank Ruhl Libre" w:hAnsi="Frank Ruhl Libre" w:cs="Frank Ruhl Libre"/>
                <w:b/>
                <w:color w:val="6B3E1F"/>
                <w:rtl/>
                <w:bCs/>
              </w:rPr>
              <w:t>הצדקה</w:t>
            </w:r>
          </w:p>
        </w:tc>
        <w:tc>
          <w:tcPr>
            <w:tcW w:type="dxa" w:w="7597"/>
          </w:tcPr>
          <w:p>
            <w:pPr>
              <w:bidi/>
              <w:jc w:val="both"/>
            </w:pPr>
            <w:r>
              <w:rPr>
                <w:rFonts w:ascii="Frank Ruhl Libre" w:hAnsi="Frank Ruhl Libre" w:cs="Frank Ruhl Libre"/>
                <w:rtl/>
              </w:rPr>
              <w:t>נימוק שמסביר מדוע מגיעה לעם היהודי מדינה.</w:t>
            </w:r>
          </w:p>
        </w:tc>
      </w:tr>
      <w:tr>
        <w:tc>
          <w:tcPr>
            <w:tcW w:type="dxa" w:w="2268"/>
            <w:shd w:val="clear" w:color="auto" w:fill="FBF4E6"/>
          </w:tcPr>
          <w:p>
            <w:pPr>
              <w:bidi/>
              <w:jc w:val="both"/>
            </w:pPr>
            <w:r>
              <w:rPr>
                <w:rFonts w:ascii="Frank Ruhl Libre" w:hAnsi="Frank Ruhl Libre" w:cs="Frank Ruhl Libre"/>
                <w:b/>
                <w:color w:val="6B3E1F"/>
                <w:rtl/>
                <w:bCs/>
              </w:rPr>
              <w:t>קיבוץ גלויות</w:t>
            </w:r>
          </w:p>
        </w:tc>
        <w:tc>
          <w:tcPr>
            <w:tcW w:type="dxa" w:w="7597"/>
          </w:tcPr>
          <w:p>
            <w:pPr>
              <w:bidi/>
              <w:jc w:val="both"/>
            </w:pPr>
            <w:r>
              <w:rPr>
                <w:rFonts w:ascii="Frank Ruhl Libre" w:hAnsi="Frank Ruhl Libre" w:cs="Frank Ruhl Libre"/>
                <w:rtl/>
              </w:rPr>
              <w:t>קליטת יהודים מכל התפוצות בארץ.</w:t>
            </w:r>
          </w:p>
        </w:tc>
      </w:tr>
      <w:tr>
        <w:tc>
          <w:tcPr>
            <w:tcW w:type="dxa" w:w="2268"/>
            <w:shd w:val="clear" w:color="auto" w:fill="FBF4E6"/>
          </w:tcPr>
          <w:p>
            <w:pPr>
              <w:bidi/>
              <w:jc w:val="both"/>
            </w:pPr>
            <w:r>
              <w:rPr>
                <w:rFonts w:ascii="Frank Ruhl Libre" w:hAnsi="Frank Ruhl Libre" w:cs="Frank Ruhl Libre"/>
                <w:b/>
                <w:color w:val="6B3E1F"/>
                <w:rtl/>
                <w:bCs/>
              </w:rPr>
              <w:t>שוויון זכויות</w:t>
            </w:r>
          </w:p>
        </w:tc>
        <w:tc>
          <w:tcPr>
            <w:tcW w:type="dxa" w:w="7597"/>
          </w:tcPr>
          <w:p>
            <w:pPr>
              <w:bidi/>
              <w:jc w:val="both"/>
            </w:pPr>
            <w:r>
              <w:rPr>
                <w:rFonts w:ascii="Frank Ruhl Libre" w:hAnsi="Frank Ruhl Libre" w:cs="Frank Ruhl Libre"/>
                <w:rtl/>
              </w:rPr>
              <w:t>כל האזרחים שווים בזכויותיהם, בלי הבדל דת, גזע ומין.</w:t>
            </w:r>
          </w:p>
        </w:tc>
      </w:tr>
      <w:tr>
        <w:tc>
          <w:tcPr>
            <w:tcW w:type="dxa" w:w="2268"/>
            <w:shd w:val="clear" w:color="auto" w:fill="FBF4E6"/>
          </w:tcPr>
          <w:p>
            <w:pPr>
              <w:bidi/>
              <w:jc w:val="both"/>
            </w:pPr>
            <w:r>
              <w:rPr>
                <w:rFonts w:ascii="Frank Ruhl Libre" w:hAnsi="Frank Ruhl Libre" w:cs="Frank Ruhl Libre"/>
                <w:b/>
                <w:color w:val="6B3E1F"/>
                <w:rtl/>
                <w:bCs/>
              </w:rPr>
              <w:t>חזון מול מציאות</w:t>
            </w:r>
          </w:p>
        </w:tc>
        <w:tc>
          <w:tcPr>
            <w:tcW w:type="dxa" w:w="7597"/>
          </w:tcPr>
          <w:p>
            <w:pPr>
              <w:bidi/>
              <w:jc w:val="both"/>
            </w:pPr>
            <w:r>
              <w:rPr>
                <w:rFonts w:ascii="Frank Ruhl Libre" w:hAnsi="Frank Ruhl Libre" w:cs="Frank Ruhl Libre"/>
                <w:rtl/>
              </w:rPr>
              <w:t>הפער בין הערכים שבמגילה לבין המצב בפועל.</w:t>
            </w:r>
          </w:p>
        </w:tc>
      </w:tr>
    </w:tbl>
    <w:p>
      <w:pPr>
        <w:keepNext/>
        <w:bidi/>
        <w:spacing w:after="60" w:before="160"/>
        <w:jc w:val="both"/>
      </w:pPr>
      <w:r>
        <w:rPr>
          <w:rFonts w:ascii="David Libre" w:hAnsi="David Libre" w:cs="David Libre"/>
          <w:b/>
          <w:color w:val="6B3E1F"/>
          <w:sz w:val="30"/>
          <w:rtl/>
          <w:bCs/>
          <w:szCs w:val="30"/>
        </w:rPr>
        <w:t>לחשוב ולדון</w:t>
      </w:r>
    </w:p>
    <w:p>
      <w:pPr>
        <w:bidi/>
        <w:spacing w:after="80" w:before="0"/>
        <w:ind w:right="227"/>
        <w:jc w:val="both"/>
      </w:pPr>
      <w:r>
        <w:rPr>
          <w:rFonts w:ascii="Frank Ruhl Libre" w:hAnsi="Frank Ruhl Libre" w:cs="Frank Ruhl Libre"/>
          <w:rtl/>
        </w:rPr>
        <w:t>• איזה עיקרון במגילה חשוב לכם במיוחד? מדוע?</w:t>
      </w:r>
    </w:p>
    <w:p>
      <w:pPr>
        <w:bidi/>
        <w:spacing w:after="80" w:before="0"/>
        <w:ind w:right="227"/>
        <w:jc w:val="both"/>
      </w:pPr>
      <w:r>
        <w:rPr>
          <w:rFonts w:ascii="Frank Ruhl Libre" w:hAnsi="Frank Ruhl Libre" w:cs="Frank Ruhl Libre"/>
          <w:rtl/>
        </w:rPr>
        <w:t>• בחרו עיקרון אחד מהמגילה ובדקו: האם הוא מתקיים היום במלואו? תנו דוגמה.</w:t>
      </w:r>
    </w:p>
    <w:p>
      <w:pPr>
        <w:bidi/>
        <w:spacing w:after="80" w:before="0"/>
        <w:jc w:val="both"/>
      </w:pPr>
      <w:r>
        <w:rPr>
          <w:rFonts w:ascii="Frank Ruhl Libre" w:hAnsi="Frank Ruhl Libre" w:cs="Frank Ruhl Libre"/>
          <w:color w:val="555555"/>
          <w:sz w:val="18"/>
          <w:rtl/>
          <w:szCs w:val="18"/>
        </w:rPr>
        <w:t>מקורות שנבדקו: ההכרזה על הקמת מדינת ישראל – נוסח המגילה · עמוד מגילת העצמאות באתר הכנסת · חוק יסוד: כבוד האדם וחירותו, סעיף 1 – נוסח החוק</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 Ruhl Libre" w:hAnsi="Frank Ruhl Libre" w:cs="Frank Ruhl Libre" w:eastAsia="Frank Ruhl Libre"/>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