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B8901F"/>
          </w:tcPr>
          <w:p>
            <w:pPr>
              <w:bidi/>
              <w:jc w:val="center"/>
            </w:pPr>
            <w:r>
              <w:rPr>
                <w:rFonts w:ascii="Frank Ruhl Libre" w:hAnsi="Frank Ruhl Libre" w:cs="Frank Ruhl Libre"/>
                <w:b/>
                <w:color w:val="FFFFFF"/>
                <w:sz w:val="48"/>
                <w:rtl/>
                <w:bCs/>
                <w:szCs w:val="48"/>
              </w:rPr>
              <w:t>4</w:t>
            </w:r>
          </w:p>
        </w:tc>
        <w:tc>
          <w:tcPr>
            <w:tcW w:type="dxa" w:w="8617"/>
            <w:shd w:val="clear" w:color="auto" w:fill="1D4E89"/>
          </w:tcPr>
          <w:p>
            <w:pPr>
              <w:bidi/>
              <w:jc w:val="both"/>
            </w:pPr>
            <w:r>
              <w:rPr>
                <w:rFonts w:ascii="Frank Ruhl Libre" w:hAnsi="Frank Ruhl Libre" w:cs="Frank Ruhl Libre"/>
                <w:b/>
                <w:color w:val="FFFFFF"/>
                <w:sz w:val="40"/>
                <w:rtl/>
                <w:bCs/>
                <w:szCs w:val="40"/>
              </w:rPr>
              <w:t>מאפיינים יהודיים מרכזיים של המדינה</w:t>
            </w:r>
          </w:p>
          <w:p>
            <w:pPr>
              <w:bidi/>
              <w:jc w:val="both"/>
            </w:pPr>
            <w:r>
              <w:rPr>
                <w:rFonts w:ascii="David Libre" w:hAnsi="David Libre" w:cs="David Libre"/>
                <w:color w:val="FFFFFF"/>
                <w:sz w:val="20"/>
                <w:rtl/>
                <w:szCs w:val="20"/>
              </w:rPr>
              <w:t>דף סיכום ולמידה · חוק השבות, סמלי המדינה, שבת וחגים, הלוח העברי והשפה העברית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3055263"/>
            <wp:docPr id="1" name="Picture 1"/>
            <wp:cNvGraphicFramePr>
              <a:graphicFrameLocks noChangeAspect="1"/>
            </wp:cNvGraphicFramePr>
            <a:graphic>
              <a:graphicData uri="http://schemas.openxmlformats.org/drawingml/2006/picture">
                <pic:pic>
                  <pic:nvPicPr>
                    <pic:cNvPr id="0" name="t4.jpg"/>
                    <pic:cNvPicPr/>
                  </pic:nvPicPr>
                  <pic:blipFill>
                    <a:blip r:embed="rId10"/>
                    <a:stretch>
                      <a:fillRect/>
                    </a:stretch>
                  </pic:blipFill>
                  <pic:spPr>
                    <a:xfrm>
                      <a:off x="0" y="0"/>
                      <a:ext cx="5400000" cy="3055263"/>
                    </a:xfrm>
                    <a:prstGeom prst="rect"/>
                  </pic:spPr>
                </pic:pic>
              </a:graphicData>
            </a:graphic>
          </wp:inline>
        </w:drawing>
      </w:r>
    </w:p>
    <w:p>
      <w:pPr>
        <w:bidi/>
        <w:spacing w:after="80" w:before="0"/>
        <w:jc w:val="both"/>
      </w:pPr>
      <w:r>
        <w:rPr>
          <w:rFonts w:ascii="David Libre" w:hAnsi="David Libre" w:cs="David Libre"/>
          <w:b/>
          <w:color w:val="1D4E89"/>
          <w:rtl/>
          <w:bCs/>
        </w:rPr>
        <w:t xml:space="preserve">מה נלמד? </w:t>
      </w:r>
      <w:r>
        <w:rPr>
          <w:rFonts w:ascii="David Libre" w:hAnsi="David Libre" w:cs="David Libre"/>
          <w:sz w:val="21"/>
          <w:rtl/>
          <w:szCs w:val="21"/>
        </w:rPr>
        <w:t>להכיר את המאפיינים היהודיים המרכזיים של מדינת ישראל ואת החוקים שמעגנים אותם · להבין את חוק השבות ואת תיקון 1970 לחוק · לפרש את סמלי המדינה ואת המשמעות שלהם · לדון בוויכוח הציבורי על המאפיינים היהודיים ובזכויות המיעוטים לצדם</w:t>
      </w:r>
    </w:p>
    <w:tbl>
      <w:tblPr>
        <w:tblStyle w:val="TableGrid"/>
        <w:tblW w:type="auto" w:w="0"/>
        <w:tblLook w:firstColumn="1" w:firstRow="1" w:lastColumn="0" w:lastRow="0" w:noHBand="0" w:noVBand="1" w:val="04A0"/>
        <w:bidiVisual/>
      </w:tblPr>
      <w:tblGrid>
        <w:gridCol w:w="9866"/>
      </w:tblGrid>
      <w:tr>
        <w:tc>
          <w:tcPr>
            <w:tcW w:type="dxa" w:w="9866"/>
            <w:shd w:val="clear" w:color="auto" w:fill="EEF4FB"/>
          </w:tcPr>
          <w:p>
            <w:pPr>
              <w:bidi/>
              <w:jc w:val="both"/>
            </w:pPr>
            <w:r>
              <w:rPr>
                <w:rFonts w:ascii="David Libre" w:hAnsi="David Libre" w:cs="David Libre"/>
                <w:rtl/>
              </w:rPr>
              <w:t>מגילת העצמאות הכריזה על הקמת «מדינה יהודית בארץ־ישראל». אבל מה הופך מדינה ל«יהודית»? בישראל התשובה נמצאת במקומות רבים בחיי היום־יום: בדגל שמתנוסס על בית הספר, בשבת שבה רוב המשרדים סגורים, בחגים שבהם יוצאים לחופשה, בשפה שבה כתובים השלטים ובחוק שמאפשר לכל יהודי לעלות לארץ. בפרק נכיר את המאפיינים האלה, את החוקים שמעגנים אותם ואת הוויכוח הציבורי סביבם.</w:t>
            </w:r>
          </w:p>
        </w:tc>
      </w:tr>
    </w:tbl>
    <w:p>
      <w:pPr>
        <w:keepNext/>
        <w:bidi/>
        <w:spacing w:after="60" w:before="160"/>
        <w:jc w:val="both"/>
      </w:pPr>
      <w:r>
        <w:rPr>
          <w:rFonts w:ascii="Frank Ruhl Libre" w:hAnsi="Frank Ruhl Libre" w:cs="Frank Ruhl Libre"/>
          <w:b/>
          <w:color w:val="1D4E89"/>
          <w:sz w:val="30"/>
          <w:rtl/>
          <w:bCs/>
          <w:szCs w:val="30"/>
        </w:rPr>
        <w:t>חוק השבות – הבית הלאומי של העם היהודי</w:t>
      </w:r>
    </w:p>
    <w:p>
      <w:pPr>
        <w:bidi/>
        <w:spacing w:after="80" w:before="0"/>
        <w:jc w:val="both"/>
      </w:pPr>
      <w:r>
        <w:rPr>
          <w:rFonts w:ascii="David Libre" w:hAnsi="David Libre" w:cs="David Libre"/>
          <w:rtl/>
        </w:rPr>
        <w:t>חוק השבות נחקק בשנת 1950 וקובע: «כל יהודי זכאי לעלות ארצה». עולה מקבל אזרחות ישראלית כמעט מיד (לפי חוק האזרחות, 1952). בשנת 1970 תוקן החוק: הוגדר בו מיהו יהודי לעניין החוק – מי שנולד לאם יהודייה או שהתגייר, ואינו בן דת אחרת – והזכות לעלות הורחבה גם לילדים, לנכדים ולבני הזוג של יהודים. החוק מבטא את תפקידה של ישראל כמקום מקלט ובית לכל יהודי.</w:t>
      </w:r>
    </w:p>
    <w:p>
      <w:pPr>
        <w:keepNext/>
        <w:bidi/>
        <w:spacing w:after="60" w:before="160"/>
        <w:jc w:val="both"/>
      </w:pPr>
      <w:r>
        <w:rPr>
          <w:rFonts w:ascii="Frank Ruhl Libre" w:hAnsi="Frank Ruhl Libre" w:cs="Frank Ruhl Libre"/>
          <w:b/>
          <w:color w:val="1D4E89"/>
          <w:sz w:val="30"/>
          <w:rtl/>
          <w:bCs/>
          <w:szCs w:val="30"/>
        </w:rPr>
        <w:t>סמלי המדינה</w:t>
      </w:r>
    </w:p>
    <w:p>
      <w:pPr>
        <w:bidi/>
        <w:spacing w:after="40" w:before="0"/>
        <w:ind w:right="227"/>
        <w:jc w:val="both"/>
      </w:pPr>
      <w:r>
        <w:rPr>
          <w:rFonts w:ascii="David Libre" w:hAnsi="David Libre" w:cs="David Libre"/>
          <w:rtl/>
        </w:rPr>
        <w:t>• הדגל – רקע לבן, שני פסי תכלת ומגן דוד באמצע; העיצוב מזכיר טלית, והוא נלקח מדגל התנועה הציונית.</w:t>
      </w:r>
    </w:p>
    <w:p>
      <w:pPr>
        <w:bidi/>
        <w:spacing w:after="40" w:before="0"/>
        <w:ind w:right="227"/>
        <w:jc w:val="both"/>
      </w:pPr>
      <w:r>
        <w:rPr>
          <w:rFonts w:ascii="David Libre" w:hAnsi="David Libre" w:cs="David Libre"/>
          <w:rtl/>
        </w:rPr>
        <w:t>• הסמל – מנורת שבעת הקנים של בית המקדש, משני צדיה ענפי זית, ומתחתיה המילה «ישראל».</w:t>
      </w:r>
    </w:p>
    <w:p>
      <w:pPr>
        <w:bidi/>
        <w:spacing w:after="40" w:before="0"/>
        <w:ind w:right="227"/>
        <w:jc w:val="both"/>
      </w:pPr>
      <w:r>
        <w:rPr>
          <w:rFonts w:ascii="David Libre" w:hAnsi="David Libre" w:cs="David Libre"/>
          <w:rtl/>
        </w:rPr>
        <w:t>• ההמנון – «התקווה», שכתב נפתלי הרץ אימבר, מבטא את הכמיהה בת אלפיים השנה «להיות עם חופשי בארצנו».</w:t>
      </w:r>
    </w:p>
    <w:p>
      <w:pPr>
        <w:bidi/>
        <w:spacing w:after="40" w:before="0"/>
        <w:ind w:right="227"/>
        <w:jc w:val="both"/>
      </w:pPr>
      <w:r>
        <w:rPr>
          <w:rFonts w:ascii="David Libre" w:hAnsi="David Libre" w:cs="David Libre"/>
          <w:rtl/>
        </w:rPr>
        <w:t>• חוק הדגל והסמל נחקק ב־1949; ב־2004 עוגן בו גם ההמנון, ושמו הוא היום חוק הדגל, הסמל והמנון המדינה.</w:t>
      </w:r>
    </w:p>
    <w:p>
      <w:pPr>
        <w:keepNext/>
        <w:bidi/>
        <w:spacing w:after="60" w:before="160"/>
        <w:jc w:val="both"/>
      </w:pPr>
      <w:r>
        <w:rPr>
          <w:rFonts w:ascii="Frank Ruhl Libre" w:hAnsi="Frank Ruhl Libre" w:cs="Frank Ruhl Libre"/>
          <w:b/>
          <w:color w:val="1D4E89"/>
          <w:sz w:val="30"/>
          <w:rtl/>
          <w:bCs/>
          <w:szCs w:val="30"/>
        </w:rPr>
        <w:t>שבת, חגים והלוח העברי</w:t>
      </w:r>
    </w:p>
    <w:p>
      <w:pPr>
        <w:bidi/>
        <w:spacing w:after="40" w:before="0"/>
        <w:ind w:right="227"/>
        <w:jc w:val="both"/>
      </w:pPr>
      <w:r>
        <w:rPr>
          <w:rFonts w:ascii="David Libre" w:hAnsi="David Libre" w:cs="David Libre"/>
          <w:rtl/>
        </w:rPr>
        <w:t>• «שבת ומועדי ישראל הם ימי המנוחה הקבועים במדינה» (חוק יסוד: הלאום, סעיף 10).</w:t>
      </w:r>
    </w:p>
    <w:p>
      <w:pPr>
        <w:bidi/>
        <w:spacing w:after="40" w:before="0"/>
        <w:ind w:right="227"/>
        <w:jc w:val="both"/>
      </w:pPr>
      <w:r>
        <w:rPr>
          <w:rFonts w:ascii="David Libre" w:hAnsi="David Libre" w:cs="David Libre"/>
          <w:rtl/>
        </w:rPr>
        <w:t>• לבני דתות אחרות זכות לנוח בימי המנוחה ובחגים שלהם – יום שישי למוסלמים, יום ראשון לנוצרים.</w:t>
      </w:r>
    </w:p>
    <w:p>
      <w:pPr>
        <w:bidi/>
        <w:spacing w:after="40" w:before="0"/>
        <w:ind w:right="227"/>
        <w:jc w:val="both"/>
      </w:pPr>
      <w:r>
        <w:rPr>
          <w:rFonts w:ascii="David Libre" w:hAnsi="David Libre" w:cs="David Libre"/>
          <w:rtl/>
        </w:rPr>
        <w:t>• חוק שעות עבודה ומנוחה מבטיח לכל עובד יום מנוחה שבועי.</w:t>
      </w:r>
    </w:p>
    <w:p>
      <w:pPr>
        <w:bidi/>
        <w:spacing w:after="40" w:before="0"/>
        <w:ind w:right="227"/>
        <w:jc w:val="both"/>
      </w:pPr>
      <w:r>
        <w:rPr>
          <w:rFonts w:ascii="David Libre" w:hAnsi="David Libre" w:cs="David Libre"/>
          <w:rtl/>
        </w:rPr>
        <w:t>• הלוח העברי הוא לוח רשמי של המדינה, ולצדו משמש גם הלוח הלועזי.</w:t>
      </w:r>
    </w:p>
    <w:p>
      <w:pPr>
        <w:bidi/>
        <w:spacing w:after="40" w:before="0"/>
        <w:ind w:right="227"/>
        <w:jc w:val="both"/>
      </w:pPr>
      <w:r>
        <w:rPr>
          <w:rFonts w:ascii="David Libre" w:hAnsi="David Libre" w:cs="David Libre"/>
          <w:rtl/>
        </w:rPr>
        <w:t>• גם ימי הזיכרון ויום העצמאות נקבעים לפי התאריך העברי.</w:t>
      </w:r>
    </w:p>
    <w:p>
      <w:pPr>
        <w:keepNext/>
        <w:bidi/>
        <w:spacing w:after="60" w:before="160"/>
        <w:jc w:val="both"/>
      </w:pPr>
      <w:r>
        <w:rPr>
          <w:rFonts w:ascii="Frank Ruhl Libre" w:hAnsi="Frank Ruhl Libre" w:cs="Frank Ruhl Libre"/>
          <w:b/>
          <w:color w:val="1D4E89"/>
          <w:sz w:val="30"/>
          <w:rtl/>
          <w:bCs/>
          <w:szCs w:val="30"/>
        </w:rPr>
        <w:t>השפה העברית</w:t>
      </w:r>
    </w:p>
    <w:p>
      <w:pPr>
        <w:bidi/>
        <w:spacing w:after="80" w:before="0"/>
        <w:jc w:val="both"/>
      </w:pPr>
      <w:r>
        <w:rPr>
          <w:rFonts w:ascii="David Libre" w:hAnsi="David Libre" w:cs="David Libre"/>
          <w:rtl/>
        </w:rPr>
        <w:t>העברית, שפת התנ"ך, «קמה לתחייה» בסוף המאה ה־19 והפכה לשפת דיבור יום־יומית. חוק יסוד: ישראל – מדינת הלאום של העם היהודי (2018) קובע שהעברית היא שפת המדינה, ושלשפה הערבית יש מעמד מיוחד במדינה. בפועל, הערבית נמצאת על שלטי דרכים, על השטרות ובמסמכים רשמיים רבים, ובתי ספר ערביים מלמדים בערבית.</w:t>
      </w:r>
    </w:p>
    <w:p>
      <w:pPr>
        <w:keepNext/>
        <w:bidi/>
        <w:spacing w:after="60" w:before="160"/>
        <w:jc w:val="both"/>
      </w:pPr>
      <w:r>
        <w:rPr>
          <w:rFonts w:ascii="Frank Ruhl Libre" w:hAnsi="Frank Ruhl Libre" w:cs="Frank Ruhl Libre"/>
          <w:b/>
          <w:color w:val="1D4E89"/>
          <w:sz w:val="30"/>
          <w:rtl/>
          <w:bCs/>
          <w:szCs w:val="30"/>
        </w:rPr>
        <w:t>הקשר לתפוצות ומוסדות</w:t>
      </w:r>
    </w:p>
    <w:p>
      <w:pPr>
        <w:bidi/>
        <w:spacing w:after="40" w:before="0"/>
        <w:ind w:right="227"/>
        <w:jc w:val="both"/>
      </w:pPr>
      <w:r>
        <w:rPr>
          <w:rFonts w:ascii="David Libre" w:hAnsi="David Libre" w:cs="David Libre"/>
          <w:rtl/>
        </w:rPr>
        <w:t>• המדינה רואה את עצמה כבית של העם היהודי כולו, גם של יהודים שחיים מחוץ לישראל.</w:t>
      </w:r>
    </w:p>
    <w:p>
      <w:pPr>
        <w:bidi/>
        <w:spacing w:after="40" w:before="0"/>
        <w:ind w:right="227"/>
        <w:jc w:val="both"/>
      </w:pPr>
      <w:r>
        <w:rPr>
          <w:rFonts w:ascii="David Libre" w:hAnsi="David Libre" w:cs="David Libre"/>
          <w:rtl/>
        </w:rPr>
        <w:t>• חוק יסוד: הלאום קובע שהמדינה תפעל לשמירת הקשר עם יהודי התפוצות ולקיבוץ גלויות.</w:t>
      </w:r>
    </w:p>
    <w:p>
      <w:pPr>
        <w:bidi/>
        <w:spacing w:after="40" w:before="0"/>
        <w:ind w:right="227"/>
        <w:jc w:val="both"/>
      </w:pPr>
      <w:r>
        <w:rPr>
          <w:rFonts w:ascii="David Libre" w:hAnsi="David Libre" w:cs="David Libre"/>
          <w:rtl/>
        </w:rPr>
        <w:t>• הסוכנות היהודית וההסתדרות הציונית העולמית מסייעות בעלייה ובקליטה, בתיאום עם המדינה.</w:t>
      </w:r>
    </w:p>
    <w:p>
      <w:pPr>
        <w:bidi/>
        <w:spacing w:after="40" w:before="0"/>
        <w:ind w:right="227"/>
        <w:jc w:val="both"/>
      </w:pPr>
      <w:r>
        <w:rPr>
          <w:rFonts w:ascii="David Libre" w:hAnsi="David Libre" w:cs="David Libre"/>
          <w:rtl/>
        </w:rPr>
        <w:t>• בענייני נישואין וגירושין של יהודים פוסקים בתי הדין הרבניים, לפי דין תורה.</w:t>
      </w:r>
    </w:p>
    <w:p>
      <w:pPr>
        <w:keepNext/>
        <w:bidi/>
        <w:spacing w:after="60" w:before="160"/>
        <w:jc w:val="both"/>
      </w:pPr>
      <w:r>
        <w:rPr>
          <w:rFonts w:ascii="Frank Ruhl Libre" w:hAnsi="Frank Ruhl Libre" w:cs="Frank Ruhl Libre"/>
          <w:b/>
          <w:color w:val="1D4E89"/>
          <w:sz w:val="30"/>
          <w:rtl/>
          <w:bCs/>
          <w:szCs w:val="30"/>
        </w:rPr>
        <w:t>ויכוח ציבורי וזכויות המיעוטים</w:t>
      </w:r>
    </w:p>
    <w:p>
      <w:pPr>
        <w:bidi/>
        <w:spacing w:after="80" w:before="0"/>
        <w:jc w:val="both"/>
      </w:pPr>
      <w:r>
        <w:rPr>
          <w:rFonts w:ascii="David Libre" w:hAnsi="David Libre" w:cs="David Libre"/>
          <w:rtl/>
        </w:rPr>
        <w:t>על המאפיינים היהודיים יש ויכוח ער. יש הרואים בהם לב הזהות של המדינה ותנאי לקיומה כבית לאומי. אחרים שואלים: איך ירגיש אזרח ערבי, דרוזי או צ'רקסי מול המנון שמדבר על «נפש יהודי»? האם החוק צריך לקבוע מה פתוח בשבת? גם על הגדרת «מיהו יהודי» בחוק השבות נמשך ויכוח. לצד המאפיינים היהודיים, מגילת העצמאות וחוקי המדינה מבטיחים שוויון זכויות לכל האזרחים, חופש דת ומעמד לשפה הערבית – והאתגר הוא לשמור על שני הצדדים יחד.</w:t>
      </w:r>
    </w:p>
    <w:tbl>
      <w:tblPr>
        <w:tblStyle w:val="TableGrid"/>
        <w:tblW w:type="auto" w:w="0"/>
        <w:tblLook w:firstColumn="1" w:firstRow="1" w:lastColumn="0" w:lastRow="0" w:noHBand="0" w:noVBand="1" w:val="04A0"/>
        <w:bidiVisual/>
      </w:tblPr>
      <w:tblGrid>
        <w:gridCol w:w="9866"/>
      </w:tblGrid>
      <w:tr>
        <w:tc>
          <w:tcPr>
            <w:tcW w:type="dxa" w:w="9866"/>
            <w:shd w:val="clear" w:color="auto" w:fill="FFFDF6"/>
          </w:tcPr>
          <w:p>
            <w:pPr>
              <w:bidi/>
              <w:jc w:val="both"/>
            </w:pPr>
            <w:r>
              <w:rPr>
                <w:rFonts w:ascii="David Libre" w:hAnsi="David Libre" w:cs="David Libre"/>
                <w:rtl/>
              </w:rPr>
              <w:t>«כל יהודי זכאי לעלות ארצה.»</w:t>
            </w:r>
          </w:p>
          <w:p>
            <w:pPr>
              <w:bidi/>
              <w:jc w:val="left"/>
            </w:pPr>
            <w:r>
              <w:rPr>
                <w:rFonts w:ascii="David Libre" w:hAnsi="David Libre" w:cs="David Libre"/>
                <w:color w:val="666666"/>
                <w:sz w:val="19"/>
                <w:rtl/>
                <w:szCs w:val="19"/>
              </w:rPr>
              <w:t>— חוק השבות, התש"י–1950, סעיף 1</w:t>
            </w:r>
          </w:p>
        </w:tc>
      </w:tr>
    </w:tbl>
    <w:p>
      <w:pPr>
        <w:keepNext/>
        <w:bidi/>
        <w:spacing w:after="60" w:before="160"/>
        <w:jc w:val="both"/>
      </w:pPr>
      <w:r>
        <w:rPr>
          <w:rFonts w:ascii="Frank Ruhl Libre" w:hAnsi="Frank Ruhl Libre" w:cs="Frank Ruhl Libre"/>
          <w:b/>
          <w:color w:val="1D4E89"/>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EEF4FB"/>
          </w:tcPr>
          <w:p>
            <w:pPr>
              <w:bidi/>
              <w:jc w:val="both"/>
            </w:pPr>
            <w:r>
              <w:rPr>
                <w:rFonts w:ascii="David Libre" w:hAnsi="David Libre" w:cs="David Libre"/>
                <w:b/>
                <w:color w:val="1D4E89"/>
                <w:rtl/>
                <w:bCs/>
              </w:rPr>
              <w:t>חוק השבות</w:t>
            </w:r>
          </w:p>
        </w:tc>
        <w:tc>
          <w:tcPr>
            <w:tcW w:type="dxa" w:w="7597"/>
          </w:tcPr>
          <w:p>
            <w:pPr>
              <w:bidi/>
              <w:jc w:val="both"/>
            </w:pPr>
            <w:r>
              <w:rPr>
                <w:rFonts w:ascii="David Libre" w:hAnsi="David Libre" w:cs="David Libre"/>
                <w:rtl/>
              </w:rPr>
              <w:t>חוק משנת 1950 שמעניק לכל יהודי את הזכות לעלות לישראל.</w:t>
            </w:r>
          </w:p>
        </w:tc>
      </w:tr>
      <w:tr>
        <w:tc>
          <w:tcPr>
            <w:tcW w:type="dxa" w:w="2268"/>
            <w:shd w:val="clear" w:color="auto" w:fill="EEF4FB"/>
          </w:tcPr>
          <w:p>
            <w:pPr>
              <w:bidi/>
              <w:jc w:val="both"/>
            </w:pPr>
            <w:r>
              <w:rPr>
                <w:rFonts w:ascii="David Libre" w:hAnsi="David Libre" w:cs="David Libre"/>
                <w:b/>
                <w:color w:val="1D4E89"/>
                <w:rtl/>
                <w:bCs/>
              </w:rPr>
              <w:t>עולה</w:t>
            </w:r>
          </w:p>
        </w:tc>
        <w:tc>
          <w:tcPr>
            <w:tcW w:type="dxa" w:w="7597"/>
          </w:tcPr>
          <w:p>
            <w:pPr>
              <w:bidi/>
              <w:jc w:val="both"/>
            </w:pPr>
            <w:r>
              <w:rPr>
                <w:rFonts w:ascii="David Libre" w:hAnsi="David Libre" w:cs="David Libre"/>
                <w:rtl/>
              </w:rPr>
              <w:t>יהודי (או בן משפחה זכאי) שעלה לישראל לפי חוק השבות.</w:t>
            </w:r>
          </w:p>
        </w:tc>
      </w:tr>
      <w:tr>
        <w:tc>
          <w:tcPr>
            <w:tcW w:type="dxa" w:w="2268"/>
            <w:shd w:val="clear" w:color="auto" w:fill="EEF4FB"/>
          </w:tcPr>
          <w:p>
            <w:pPr>
              <w:bidi/>
              <w:jc w:val="both"/>
            </w:pPr>
            <w:r>
              <w:rPr>
                <w:rFonts w:ascii="David Libre" w:hAnsi="David Libre" w:cs="David Libre"/>
                <w:b/>
                <w:color w:val="1D4E89"/>
                <w:rtl/>
                <w:bCs/>
              </w:rPr>
              <w:t>סמלי המדינה</w:t>
            </w:r>
          </w:p>
        </w:tc>
        <w:tc>
          <w:tcPr>
            <w:tcW w:type="dxa" w:w="7597"/>
          </w:tcPr>
          <w:p>
            <w:pPr>
              <w:bidi/>
              <w:jc w:val="both"/>
            </w:pPr>
            <w:r>
              <w:rPr>
                <w:rFonts w:ascii="David Libre" w:hAnsi="David Libre" w:cs="David Libre"/>
                <w:rtl/>
              </w:rPr>
              <w:t>הדגל, הסמל וההמנון – המבטאים את זהותה של המדינה.</w:t>
            </w:r>
          </w:p>
        </w:tc>
      </w:tr>
      <w:tr>
        <w:tc>
          <w:tcPr>
            <w:tcW w:type="dxa" w:w="2268"/>
            <w:shd w:val="clear" w:color="auto" w:fill="EEF4FB"/>
          </w:tcPr>
          <w:p>
            <w:pPr>
              <w:bidi/>
              <w:jc w:val="both"/>
            </w:pPr>
            <w:r>
              <w:rPr>
                <w:rFonts w:ascii="David Libre" w:hAnsi="David Libre" w:cs="David Libre"/>
                <w:b/>
                <w:color w:val="1D4E89"/>
                <w:rtl/>
                <w:bCs/>
              </w:rPr>
              <w:t>יום מנוחה</w:t>
            </w:r>
          </w:p>
        </w:tc>
        <w:tc>
          <w:tcPr>
            <w:tcW w:type="dxa" w:w="7597"/>
          </w:tcPr>
          <w:p>
            <w:pPr>
              <w:bidi/>
              <w:jc w:val="both"/>
            </w:pPr>
            <w:r>
              <w:rPr>
                <w:rFonts w:ascii="David Libre" w:hAnsi="David Libre" w:cs="David Libre"/>
                <w:rtl/>
              </w:rPr>
              <w:t>יום שבו העבודה אסורה כברירת מחדל: השבת וחגי ישראל, ולבני דתות אחרות – ימי המנוחה שלהם.</w:t>
            </w:r>
          </w:p>
        </w:tc>
      </w:tr>
      <w:tr>
        <w:tc>
          <w:tcPr>
            <w:tcW w:type="dxa" w:w="2268"/>
            <w:shd w:val="clear" w:color="auto" w:fill="EEF4FB"/>
          </w:tcPr>
          <w:p>
            <w:pPr>
              <w:bidi/>
              <w:jc w:val="both"/>
            </w:pPr>
            <w:r>
              <w:rPr>
                <w:rFonts w:ascii="David Libre" w:hAnsi="David Libre" w:cs="David Libre"/>
                <w:b/>
                <w:color w:val="1D4E89"/>
                <w:rtl/>
                <w:bCs/>
              </w:rPr>
              <w:t>הלוח העברי</w:t>
            </w:r>
          </w:p>
        </w:tc>
        <w:tc>
          <w:tcPr>
            <w:tcW w:type="dxa" w:w="7597"/>
          </w:tcPr>
          <w:p>
            <w:pPr>
              <w:bidi/>
              <w:jc w:val="both"/>
            </w:pPr>
            <w:r>
              <w:rPr>
                <w:rFonts w:ascii="David Libre" w:hAnsi="David Libre" w:cs="David Libre"/>
                <w:rtl/>
              </w:rPr>
              <w:t>לוח שנה ירחי־שמשי, שהוא לוח רשמי של המדינה.</w:t>
            </w:r>
          </w:p>
        </w:tc>
      </w:tr>
      <w:tr>
        <w:tc>
          <w:tcPr>
            <w:tcW w:type="dxa" w:w="2268"/>
            <w:shd w:val="clear" w:color="auto" w:fill="EEF4FB"/>
          </w:tcPr>
          <w:p>
            <w:pPr>
              <w:bidi/>
              <w:jc w:val="both"/>
            </w:pPr>
            <w:r>
              <w:rPr>
                <w:rFonts w:ascii="David Libre" w:hAnsi="David Libre" w:cs="David Libre"/>
                <w:b/>
                <w:color w:val="1D4E89"/>
                <w:rtl/>
                <w:bCs/>
              </w:rPr>
              <w:t>תפוצות</w:t>
            </w:r>
          </w:p>
        </w:tc>
        <w:tc>
          <w:tcPr>
            <w:tcW w:type="dxa" w:w="7597"/>
          </w:tcPr>
          <w:p>
            <w:pPr>
              <w:bidi/>
              <w:jc w:val="both"/>
            </w:pPr>
            <w:r>
              <w:rPr>
                <w:rFonts w:ascii="David Libre" w:hAnsi="David Libre" w:cs="David Libre"/>
                <w:rtl/>
              </w:rPr>
              <w:t>קהילות יהודיות שחיות מחוץ לארץ ישראל.</w:t>
            </w:r>
          </w:p>
        </w:tc>
      </w:tr>
      <w:tr>
        <w:tc>
          <w:tcPr>
            <w:tcW w:type="dxa" w:w="2268"/>
            <w:shd w:val="clear" w:color="auto" w:fill="EEF4FB"/>
          </w:tcPr>
          <w:p>
            <w:pPr>
              <w:bidi/>
              <w:jc w:val="both"/>
            </w:pPr>
            <w:r>
              <w:rPr>
                <w:rFonts w:ascii="David Libre" w:hAnsi="David Libre" w:cs="David Libre"/>
                <w:b/>
                <w:color w:val="1D4E89"/>
                <w:rtl/>
                <w:bCs/>
              </w:rPr>
              <w:t>קיבוץ גלויות</w:t>
            </w:r>
          </w:p>
        </w:tc>
        <w:tc>
          <w:tcPr>
            <w:tcW w:type="dxa" w:w="7597"/>
          </w:tcPr>
          <w:p>
            <w:pPr>
              <w:bidi/>
              <w:jc w:val="both"/>
            </w:pPr>
            <w:r>
              <w:rPr>
                <w:rFonts w:ascii="David Libre" w:hAnsi="David Libre" w:cs="David Libre"/>
                <w:rtl/>
              </w:rPr>
              <w:t>קליטה בישראל של יהודים שעולים מכל ארצות העולם.</w:t>
            </w:r>
          </w:p>
        </w:tc>
      </w:tr>
      <w:tr>
        <w:tc>
          <w:tcPr>
            <w:tcW w:type="dxa" w:w="2268"/>
            <w:shd w:val="clear" w:color="auto" w:fill="EEF4FB"/>
          </w:tcPr>
          <w:p>
            <w:pPr>
              <w:bidi/>
              <w:jc w:val="both"/>
            </w:pPr>
            <w:r>
              <w:rPr>
                <w:rFonts w:ascii="David Libre" w:hAnsi="David Libre" w:cs="David Libre"/>
                <w:b/>
                <w:color w:val="1D4E89"/>
                <w:rtl/>
                <w:bCs/>
              </w:rPr>
              <w:t>מיעוט</w:t>
            </w:r>
          </w:p>
        </w:tc>
        <w:tc>
          <w:tcPr>
            <w:tcW w:type="dxa" w:w="7597"/>
          </w:tcPr>
          <w:p>
            <w:pPr>
              <w:bidi/>
              <w:jc w:val="both"/>
            </w:pPr>
            <w:r>
              <w:rPr>
                <w:rFonts w:ascii="David Libre" w:hAnsi="David Libre" w:cs="David Libre"/>
                <w:rtl/>
              </w:rPr>
              <w:t>קבוצה קטנה יותר באוכלוסייה, שזכויותיה מוגנות בחוק.</w:t>
            </w:r>
          </w:p>
        </w:tc>
      </w:tr>
    </w:tbl>
    <w:p>
      <w:pPr>
        <w:keepNext/>
        <w:bidi/>
        <w:spacing w:after="60" w:before="160"/>
        <w:jc w:val="both"/>
      </w:pPr>
      <w:r>
        <w:rPr>
          <w:rFonts w:ascii="Frank Ruhl Libre" w:hAnsi="Frank Ruhl Libre" w:cs="Frank Ruhl Libre"/>
          <w:b/>
          <w:color w:val="1D4E89"/>
          <w:sz w:val="30"/>
          <w:rtl/>
          <w:bCs/>
          <w:szCs w:val="30"/>
        </w:rPr>
        <w:t>לחשוב ולדון</w:t>
      </w:r>
    </w:p>
    <w:p>
      <w:pPr>
        <w:bidi/>
        <w:spacing w:after="80" w:before="0"/>
        <w:ind w:right="227"/>
        <w:jc w:val="both"/>
      </w:pPr>
      <w:r>
        <w:rPr>
          <w:rFonts w:ascii="David Libre" w:hAnsi="David Libre" w:cs="David Libre"/>
          <w:rtl/>
        </w:rPr>
        <w:t>• איזה מאפיין יהודי של המדינה הוא בעיניכם החשוב ביותר? מדוע?</w:t>
      </w:r>
    </w:p>
    <w:p>
      <w:pPr>
        <w:bidi/>
        <w:spacing w:after="80" w:before="0"/>
        <w:ind w:right="227"/>
        <w:jc w:val="both"/>
      </w:pPr>
      <w:r>
        <w:rPr>
          <w:rFonts w:ascii="David Libre" w:hAnsi="David Libre" w:cs="David Libre"/>
          <w:rtl/>
        </w:rPr>
        <w:t>• כיצד אפשר לשמור על המאפיינים היהודיים של המדינה ובו בזמן לגרום לכל אזרחיה להרגיש שייכים?</w:t>
      </w:r>
    </w:p>
    <w:p>
      <w:pPr>
        <w:bidi/>
        <w:spacing w:after="80" w:before="0"/>
        <w:jc w:val="both"/>
      </w:pPr>
      <w:r>
        <w:rPr>
          <w:rFonts w:ascii="David Libre" w:hAnsi="David Libre" w:cs="David Libre"/>
          <w:color w:val="555555"/>
          <w:sz w:val="18"/>
          <w:rtl/>
          <w:szCs w:val="18"/>
        </w:rPr>
        <w:t>מקורות שנבדקו: חוק השבות, התש"י–1950 (סעיפים 1, 4א, 4ב) · חוק יסוד: ישראל – מדינת הלאום של העם היהודי (סעיפים 2, 4, 5, 8, 10) · חוק שעות עבודה ומנוחה – כל־זכות / gov.il</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Libre" w:hAnsi="David Libre" w:cs="David Libre" w:eastAsia="David Libr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