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B8902F"/>
                <w:sz w:val="30"/>
                <w:szCs w:val="30"/>
                <w:rtl/>
              </w:rPr>
              <w:t>דַּף צְבִיעָה · צוֹם גְּדַלְיָה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פֵּרוֹת הַשָּׂדֶה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083999" cy="669548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69_0.0-0.08-0.962-0.927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83999" cy="66954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b/>
          <w:bCs/>
          <w:color w:val="1B2631"/>
          <w:sz w:val="48"/>
          <w:szCs w:val="48"/>
          <w:rtl/>
        </w:rPr>
        <w:t>הַיְּהוּדִים אָסְפוּ עֲנָבִים וּתְאֵנִים.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B8902F"/>
                <w:sz w:val="30"/>
                <w:szCs w:val="30"/>
                <w:rtl/>
              </w:rPr>
              <w:t>דַּף צְבִיעָה · צוֹם גְּדַלְיָה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יוֹם שֶׁל צוֹם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348356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76_0.0-0.333-1.0-0.773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3483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b/>
          <w:bCs/>
          <w:color w:val="1B2631"/>
          <w:sz w:val="48"/>
          <w:szCs w:val="48"/>
          <w:rtl/>
        </w:rPr>
        <w:t>בַּצּוֹם מִתְפַּלְּלִים וְחוֹזְרִים בִּתְשׁוּבָה.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Frank Ruhl Libre" w:hAnsi="Frank Ruhl Libre" w:cs="Frank Ruhl Libre" w:eastAsia="Frank Ruhl Libre"/>
          <w:b/>
          <w:bCs/>
          <w:color w:val="B8902F"/>
          <w:sz w:val="34"/>
          <w:szCs w:val="34"/>
          <w:rtl/>
        </w:rPr>
        <w:t>פִּנַּת צִיּוּר: צַיְּרוּ גַּם אַתֶּם צִיּוּר עַל צוֹם גְּדַלְיָה</w:t>
      </w:r>
    </w:p>
    <w:tbl>
      <w:tblPr>
        <w:bidiVisual/>
        <w:tblW w:w="986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865"/>
      </w:tblGrid>
      <w:tr>
        <w:trPr>
          <w:trHeight w:val="4139" w:hRule="exact"/>
          <w:cantSplit/>
        </w:trPr>
        <w:tc>
          <w:tcPr>
            <w:tcW w:type="dxa" w:w="10318"/>
            <w:tcW w:w="9865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Frank Ruhl Libre" w:hAnsi="Frank Ruhl Libre" w:cs="Frank Ruhl Libre" w:eastAsia="Frank Ruhl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