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כַּשְׁרוּת הַבַּיִת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Noto Serif Hebrew" w:hAnsi="Noto Serif Hebrew" w:cs="Noto Serif Hebrew" w:eastAsia="Noto Serif Hebrew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בָּשָׂר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חָלָב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גְּבִינָה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כֵּלִים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סִיר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צַלַּחַת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סַכִּין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כָּשֵׁר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פַּרְוֶה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מִטְבָּח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Noto Serif Hebrew" w:hAnsi="Noto Serif Hebrew" w:cs="Noto Serif Hebrew" w:eastAsia="Noto Serif Hebrew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