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997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979"/>
      </w:tblGrid>
      <w:tr>
        <w:trPr>
          <w:cantSplit/>
        </w:trPr>
        <w:tc>
          <w:tcPr>
            <w:tcW w:type="dxa" w:w="10318"/>
            <w:tcW w:w="9979" w:type="dxa"/>
            <w:shd w:val="clear" w:color="auto" w:fill="1F4E79"/>
            <w:tcMar>
              <w:top w:w="141" w:type="dxa"/>
              <w:left w:w="226" w:type="dxa"/>
              <w:bottom w:w="141" w:type="dxa"/>
              <w:right w:w="226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Heebo" w:hAnsi="Heebo" w:cs="Heebo" w:eastAsia="Heebo"/>
                <w:b/>
                <w:bCs/>
                <w:color w:val="FFFFFF"/>
                <w:sz w:val="48"/>
                <w:szCs w:val="48"/>
                <w:rtl/>
              </w:rPr>
              <w:t>בוחן: יהודים בעולם המוסלמי – פתרון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Assistant" w:hAnsi="Assistant" w:cs="Assistant" w:eastAsia="Assistant"/>
                <w:color w:val="FFFFFF"/>
                <w:sz w:val="26"/>
                <w:szCs w:val="26"/>
                <w:rtl/>
              </w:rPr>
              <w:t xml:space="preserve">היסטוריה חמ"ד · כיתה ז' · יחידה </w:t>
            </w:r>
            <w:r>
              <w:rPr>
                <w:rFonts w:ascii="Assistant" w:hAnsi="Assistant" w:cs="Assistant" w:eastAsia="Assistant"/>
                <w:color w:val="FFFFFF"/>
                <w:sz w:val="26"/>
                <w:szCs w:val="26"/>
                <w:rtl/>
              </w:rPr>
              <w:t>2</w:t>
            </w:r>
            <w:r>
              <w:rPr>
                <w:rFonts w:ascii="Assistant" w:hAnsi="Assistant" w:cs="Assistant" w:eastAsia="Assistant"/>
                <w:color w:val="FFFFFF"/>
                <w:sz w:val="26"/>
                <w:szCs w:val="26"/>
                <w:rtl/>
              </w:rPr>
              <w:t>: היהודים תחת השלטון המוסלמי · מחוון</w:t>
            </w:r>
          </w:p>
        </w:tc>
      </w:tr>
    </w:tbl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sz w:val="12"/>
          <w:szCs w:val="12"/>
          <w:rtl/>
        </w:rPr>
        <w:t xml:space="preserve"> </w:t>
      </w:r>
    </w:p>
    <w:p>
      <w:pPr>
        <w:keepNext/>
        <w:bidi/>
        <w:spacing w:before="120" w:after="60" w:line="264" w:lineRule="auto"/>
        <w:jc w:val="both"/>
      </w:pP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>1</w:t>
      </w: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 xml:space="preserve">. </w:t>
      </w:r>
      <w:r>
        <w:rPr>
          <w:rFonts w:ascii="Assistant" w:hAnsi="Assistant" w:cs="Assistant" w:eastAsia="Assistant"/>
          <w:b/>
          <w:bCs/>
          <w:sz w:val="26"/>
          <w:szCs w:val="26"/>
          <w:rtl/>
        </w:rPr>
        <w:t>מי היו «בני חסות» (ד'ימים) בעולם המוסלמי?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 xml:space="preserve">  (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>7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 xml:space="preserve"> נק')</w:t>
      </w:r>
    </w:p>
    <w:p>
      <w:pPr>
        <w:keepNext/>
        <w:bidi/>
        <w:spacing w:before="0" w:after="20"/>
        <w:jc w:val="both"/>
      </w:pPr>
      <w:r>
        <w:rPr>
          <w:rFonts w:ascii="Assistant" w:hAnsi="Assistant" w:cs="Assistant" w:eastAsia="Assistant"/>
          <w:b/>
          <w:bCs/>
          <w:sz w:val="25"/>
          <w:szCs w:val="25"/>
          <w:rtl/>
        </w:rPr>
        <w:t xml:space="preserve">   א. </w:t>
      </w:r>
      <w:r>
        <w:rPr>
          <w:rFonts w:ascii="Assistant" w:hAnsi="Assistant" w:cs="Assistant" w:eastAsia="Assistant"/>
          <w:sz w:val="25"/>
          <w:szCs w:val="25"/>
          <w:rtl/>
        </w:rPr>
        <w:t>כל מי שלא היה ערבי</w:t>
      </w:r>
    </w:p>
    <w:p>
      <w:pPr>
        <w:keepNext/>
        <w:bidi/>
        <w:spacing w:before="0" w:after="20"/>
        <w:jc w:val="both"/>
      </w:pPr>
      <w:r>
        <w:rPr>
          <w:rFonts w:ascii="Assistant" w:hAnsi="Assistant" w:cs="Assistant" w:eastAsia="Assistant"/>
          <w:b/>
          <w:bCs/>
          <w:sz w:val="25"/>
          <w:szCs w:val="25"/>
          <w:rtl/>
        </w:rPr>
        <w:t xml:space="preserve">   ב. </w:t>
      </w:r>
      <w:r>
        <w:rPr>
          <w:rFonts w:ascii="Assistant" w:hAnsi="Assistant" w:cs="Assistant" w:eastAsia="Assistant"/>
          <w:b/>
          <w:bCs/>
          <w:color w:val="1E7B34"/>
          <w:sz w:val="25"/>
          <w:szCs w:val="25"/>
          <w:rtl/>
        </w:rPr>
        <w:t>יהודים ונוצרים – «אנשי הספר»</w:t>
      </w:r>
      <w:r>
        <w:rPr>
          <w:rFonts w:ascii="Assistant" w:hAnsi="Assistant" w:cs="Assistant" w:eastAsia="Assistant"/>
          <w:b/>
          <w:bCs/>
          <w:color w:val="1E7B34"/>
          <w:sz w:val="25"/>
          <w:szCs w:val="25"/>
          <w:rtl/>
        </w:rPr>
        <w:t xml:space="preserve">  ✔</w:t>
      </w:r>
    </w:p>
    <w:p>
      <w:pPr>
        <w:keepNext/>
        <w:bidi/>
        <w:spacing w:before="0" w:after="20"/>
        <w:jc w:val="both"/>
      </w:pPr>
      <w:r>
        <w:rPr>
          <w:rFonts w:ascii="Assistant" w:hAnsi="Assistant" w:cs="Assistant" w:eastAsia="Assistant"/>
          <w:b/>
          <w:bCs/>
          <w:sz w:val="25"/>
          <w:szCs w:val="25"/>
          <w:rtl/>
        </w:rPr>
        <w:t xml:space="preserve">   ג. </w:t>
      </w:r>
      <w:r>
        <w:rPr>
          <w:rFonts w:ascii="Assistant" w:hAnsi="Assistant" w:cs="Assistant" w:eastAsia="Assistant"/>
          <w:sz w:val="25"/>
          <w:szCs w:val="25"/>
          <w:rtl/>
        </w:rPr>
        <w:t>חיילים זרים בצבא הח'ליף</w:t>
      </w:r>
    </w:p>
    <w:p>
      <w:pPr>
        <w:bidi/>
        <w:spacing w:before="0" w:after="20"/>
        <w:jc w:val="both"/>
      </w:pPr>
      <w:r>
        <w:rPr>
          <w:rFonts w:ascii="Assistant" w:hAnsi="Assistant" w:cs="Assistant" w:eastAsia="Assistant"/>
          <w:b/>
          <w:bCs/>
          <w:sz w:val="25"/>
          <w:szCs w:val="25"/>
          <w:rtl/>
        </w:rPr>
        <w:t xml:space="preserve">   ד. </w:t>
      </w:r>
      <w:r>
        <w:rPr>
          <w:rFonts w:ascii="Assistant" w:hAnsi="Assistant" w:cs="Assistant" w:eastAsia="Assistant"/>
          <w:sz w:val="25"/>
          <w:szCs w:val="25"/>
          <w:rtl/>
        </w:rPr>
        <w:t>סוחרים שהגיעו מאירופה</w:t>
      </w:r>
    </w:p>
    <w:p>
      <w:pPr>
        <w:keepNext/>
        <w:bidi/>
        <w:spacing w:before="120" w:after="60" w:line="264" w:lineRule="auto"/>
        <w:jc w:val="both"/>
      </w:pP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>2</w:t>
      </w: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 xml:space="preserve">. </w:t>
      </w:r>
      <w:r>
        <w:rPr>
          <w:rFonts w:ascii="Assistant" w:hAnsi="Assistant" w:cs="Assistant" w:eastAsia="Assistant"/>
          <w:b/>
          <w:bCs/>
          <w:sz w:val="26"/>
          <w:szCs w:val="26"/>
          <w:rtl/>
        </w:rPr>
        <w:t>מהי ג'יזיה?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 xml:space="preserve">  (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>7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 xml:space="preserve"> נק')</w:t>
      </w:r>
    </w:p>
    <w:p>
      <w:pPr>
        <w:keepNext/>
        <w:bidi/>
        <w:spacing w:before="0" w:after="20"/>
        <w:jc w:val="both"/>
      </w:pPr>
      <w:r>
        <w:rPr>
          <w:rFonts w:ascii="Assistant" w:hAnsi="Assistant" w:cs="Assistant" w:eastAsia="Assistant"/>
          <w:b/>
          <w:bCs/>
          <w:sz w:val="25"/>
          <w:szCs w:val="25"/>
          <w:rtl/>
        </w:rPr>
        <w:t xml:space="preserve">   א. </w:t>
      </w:r>
      <w:r>
        <w:rPr>
          <w:rFonts w:ascii="Assistant" w:hAnsi="Assistant" w:cs="Assistant" w:eastAsia="Assistant"/>
          <w:b/>
          <w:bCs/>
          <w:color w:val="1E7B34"/>
          <w:sz w:val="25"/>
          <w:szCs w:val="25"/>
          <w:rtl/>
        </w:rPr>
        <w:t>מס גולגולת שבני החסות שילמו</w:t>
      </w:r>
      <w:r>
        <w:rPr>
          <w:rFonts w:ascii="Assistant" w:hAnsi="Assistant" w:cs="Assistant" w:eastAsia="Assistant"/>
          <w:b/>
          <w:bCs/>
          <w:color w:val="1E7B34"/>
          <w:sz w:val="25"/>
          <w:szCs w:val="25"/>
          <w:rtl/>
        </w:rPr>
        <w:t xml:space="preserve">  ✔</w:t>
      </w:r>
    </w:p>
    <w:p>
      <w:pPr>
        <w:keepNext/>
        <w:bidi/>
        <w:spacing w:before="0" w:after="20"/>
        <w:jc w:val="both"/>
      </w:pPr>
      <w:r>
        <w:rPr>
          <w:rFonts w:ascii="Assistant" w:hAnsi="Assistant" w:cs="Assistant" w:eastAsia="Assistant"/>
          <w:b/>
          <w:bCs/>
          <w:sz w:val="25"/>
          <w:szCs w:val="25"/>
          <w:rtl/>
        </w:rPr>
        <w:t xml:space="preserve">   ב. </w:t>
      </w:r>
      <w:r>
        <w:rPr>
          <w:rFonts w:ascii="Assistant" w:hAnsi="Assistant" w:cs="Assistant" w:eastAsia="Assistant"/>
          <w:sz w:val="25"/>
          <w:szCs w:val="25"/>
          <w:rtl/>
        </w:rPr>
        <w:t>בגד מיוחד שהיהודים לבשו</w:t>
      </w:r>
    </w:p>
    <w:p>
      <w:pPr>
        <w:keepNext/>
        <w:bidi/>
        <w:spacing w:before="0" w:after="20"/>
        <w:jc w:val="both"/>
      </w:pPr>
      <w:r>
        <w:rPr>
          <w:rFonts w:ascii="Assistant" w:hAnsi="Assistant" w:cs="Assistant" w:eastAsia="Assistant"/>
          <w:b/>
          <w:bCs/>
          <w:sz w:val="25"/>
          <w:szCs w:val="25"/>
          <w:rtl/>
        </w:rPr>
        <w:t xml:space="preserve">   ג. </w:t>
      </w:r>
      <w:r>
        <w:rPr>
          <w:rFonts w:ascii="Assistant" w:hAnsi="Assistant" w:cs="Assistant" w:eastAsia="Assistant"/>
          <w:sz w:val="25"/>
          <w:szCs w:val="25"/>
          <w:rtl/>
        </w:rPr>
        <w:t>תפילת יום שישי במסגד</w:t>
      </w:r>
    </w:p>
    <w:p>
      <w:pPr>
        <w:bidi/>
        <w:spacing w:before="0" w:after="20"/>
        <w:jc w:val="both"/>
      </w:pPr>
      <w:r>
        <w:rPr>
          <w:rFonts w:ascii="Assistant" w:hAnsi="Assistant" w:cs="Assistant" w:eastAsia="Assistant"/>
          <w:b/>
          <w:bCs/>
          <w:sz w:val="25"/>
          <w:szCs w:val="25"/>
          <w:rtl/>
        </w:rPr>
        <w:t xml:space="preserve">   ד. </w:t>
      </w:r>
      <w:r>
        <w:rPr>
          <w:rFonts w:ascii="Assistant" w:hAnsi="Assistant" w:cs="Assistant" w:eastAsia="Assistant"/>
          <w:sz w:val="25"/>
          <w:szCs w:val="25"/>
          <w:rtl/>
        </w:rPr>
        <w:t>כינוי לראש הגולה</w:t>
      </w:r>
    </w:p>
    <w:p>
      <w:pPr>
        <w:keepNext/>
        <w:bidi/>
        <w:spacing w:before="120" w:after="60" w:line="264" w:lineRule="auto"/>
        <w:jc w:val="both"/>
      </w:pP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>3</w:t>
      </w: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 xml:space="preserve">. </w:t>
      </w:r>
      <w:r>
        <w:rPr>
          <w:rFonts w:ascii="Assistant" w:hAnsi="Assistant" w:cs="Assistant" w:eastAsia="Assistant"/>
          <w:b/>
          <w:bCs/>
          <w:sz w:val="26"/>
          <w:szCs w:val="26"/>
          <w:rtl/>
        </w:rPr>
        <w:t>מה פירוש המילה «גאון» בתקופה זו?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 xml:space="preserve">  (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>7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 xml:space="preserve"> נק')</w:t>
      </w:r>
    </w:p>
    <w:p>
      <w:pPr>
        <w:keepNext/>
        <w:bidi/>
        <w:spacing w:before="0" w:after="20"/>
        <w:jc w:val="both"/>
      </w:pPr>
      <w:r>
        <w:rPr>
          <w:rFonts w:ascii="Assistant" w:hAnsi="Assistant" w:cs="Assistant" w:eastAsia="Assistant"/>
          <w:b/>
          <w:bCs/>
          <w:sz w:val="25"/>
          <w:szCs w:val="25"/>
          <w:rtl/>
        </w:rPr>
        <w:t xml:space="preserve">   א. </w:t>
      </w:r>
      <w:r>
        <w:rPr>
          <w:rFonts w:ascii="Assistant" w:hAnsi="Assistant" w:cs="Assistant" w:eastAsia="Assistant"/>
          <w:sz w:val="25"/>
          <w:szCs w:val="25"/>
          <w:rtl/>
        </w:rPr>
        <w:t>אדם חכם במיוחד</w:t>
      </w:r>
    </w:p>
    <w:p>
      <w:pPr>
        <w:keepNext/>
        <w:bidi/>
        <w:spacing w:before="0" w:after="20"/>
        <w:jc w:val="both"/>
      </w:pPr>
      <w:r>
        <w:rPr>
          <w:rFonts w:ascii="Assistant" w:hAnsi="Assistant" w:cs="Assistant" w:eastAsia="Assistant"/>
          <w:b/>
          <w:bCs/>
          <w:sz w:val="25"/>
          <w:szCs w:val="25"/>
          <w:rtl/>
        </w:rPr>
        <w:t xml:space="preserve">   ב. </w:t>
      </w:r>
      <w:r>
        <w:rPr>
          <w:rFonts w:ascii="Assistant" w:hAnsi="Assistant" w:cs="Assistant" w:eastAsia="Assistant"/>
          <w:b/>
          <w:bCs/>
          <w:color w:val="1E7B34"/>
          <w:sz w:val="25"/>
          <w:szCs w:val="25"/>
          <w:rtl/>
        </w:rPr>
        <w:t>ראש ישיבה בבבל</w:t>
      </w:r>
      <w:r>
        <w:rPr>
          <w:rFonts w:ascii="Assistant" w:hAnsi="Assistant" w:cs="Assistant" w:eastAsia="Assistant"/>
          <w:b/>
          <w:bCs/>
          <w:color w:val="1E7B34"/>
          <w:sz w:val="25"/>
          <w:szCs w:val="25"/>
          <w:rtl/>
        </w:rPr>
        <w:t xml:space="preserve">  ✔</w:t>
      </w:r>
    </w:p>
    <w:p>
      <w:pPr>
        <w:keepNext/>
        <w:bidi/>
        <w:spacing w:before="0" w:after="20"/>
        <w:jc w:val="both"/>
      </w:pPr>
      <w:r>
        <w:rPr>
          <w:rFonts w:ascii="Assistant" w:hAnsi="Assistant" w:cs="Assistant" w:eastAsia="Assistant"/>
          <w:b/>
          <w:bCs/>
          <w:sz w:val="25"/>
          <w:szCs w:val="25"/>
          <w:rtl/>
        </w:rPr>
        <w:t xml:space="preserve">   ג. </w:t>
      </w:r>
      <w:r>
        <w:rPr>
          <w:rFonts w:ascii="Assistant" w:hAnsi="Assistant" w:cs="Assistant" w:eastAsia="Assistant"/>
          <w:sz w:val="25"/>
          <w:szCs w:val="25"/>
          <w:rtl/>
        </w:rPr>
        <w:t>מנהיג מדיני מבית דוד</w:t>
      </w:r>
    </w:p>
    <w:p>
      <w:pPr>
        <w:bidi/>
        <w:spacing w:before="0" w:after="20"/>
        <w:jc w:val="both"/>
      </w:pPr>
      <w:r>
        <w:rPr>
          <w:rFonts w:ascii="Assistant" w:hAnsi="Assistant" w:cs="Assistant" w:eastAsia="Assistant"/>
          <w:b/>
          <w:bCs/>
          <w:sz w:val="25"/>
          <w:szCs w:val="25"/>
          <w:rtl/>
        </w:rPr>
        <w:t xml:space="preserve">   ד. </w:t>
      </w:r>
      <w:r>
        <w:rPr>
          <w:rFonts w:ascii="Assistant" w:hAnsi="Assistant" w:cs="Assistant" w:eastAsia="Assistant"/>
          <w:sz w:val="25"/>
          <w:szCs w:val="25"/>
          <w:rtl/>
        </w:rPr>
        <w:t>שופט מוסלמי</w:t>
      </w:r>
    </w:p>
    <w:p>
      <w:pPr>
        <w:keepNext/>
        <w:bidi/>
        <w:spacing w:before="120" w:after="60" w:line="264" w:lineRule="auto"/>
        <w:jc w:val="both"/>
      </w:pP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>4</w:t>
      </w: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 xml:space="preserve">. </w:t>
      </w:r>
      <w:r>
        <w:rPr>
          <w:rFonts w:ascii="Assistant" w:hAnsi="Assistant" w:cs="Assistant" w:eastAsia="Assistant"/>
          <w:b/>
          <w:bCs/>
          <w:sz w:val="26"/>
          <w:szCs w:val="26"/>
          <w:rtl/>
        </w:rPr>
        <w:t>היכן נמצאה הגניזה הקהירית?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 xml:space="preserve">  (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>7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 xml:space="preserve"> נק')</w:t>
      </w:r>
    </w:p>
    <w:p>
      <w:pPr>
        <w:keepNext/>
        <w:bidi/>
        <w:spacing w:before="0" w:after="20"/>
        <w:jc w:val="both"/>
      </w:pPr>
      <w:r>
        <w:rPr>
          <w:rFonts w:ascii="Assistant" w:hAnsi="Assistant" w:cs="Assistant" w:eastAsia="Assistant"/>
          <w:b/>
          <w:bCs/>
          <w:sz w:val="25"/>
          <w:szCs w:val="25"/>
          <w:rtl/>
        </w:rPr>
        <w:t xml:space="preserve">   א. </w:t>
      </w:r>
      <w:r>
        <w:rPr>
          <w:rFonts w:ascii="Assistant" w:hAnsi="Assistant" w:cs="Assistant" w:eastAsia="Assistant"/>
          <w:sz w:val="25"/>
          <w:szCs w:val="25"/>
          <w:rtl/>
        </w:rPr>
        <w:t>בישיבת סורא</w:t>
      </w:r>
    </w:p>
    <w:p>
      <w:pPr>
        <w:keepNext/>
        <w:bidi/>
        <w:spacing w:before="0" w:after="20"/>
        <w:jc w:val="both"/>
      </w:pPr>
      <w:r>
        <w:rPr>
          <w:rFonts w:ascii="Assistant" w:hAnsi="Assistant" w:cs="Assistant" w:eastAsia="Assistant"/>
          <w:b/>
          <w:bCs/>
          <w:sz w:val="25"/>
          <w:szCs w:val="25"/>
          <w:rtl/>
        </w:rPr>
        <w:t xml:space="preserve">   ב. </w:t>
      </w:r>
      <w:r>
        <w:rPr>
          <w:rFonts w:ascii="Assistant" w:hAnsi="Assistant" w:cs="Assistant" w:eastAsia="Assistant"/>
          <w:b/>
          <w:bCs/>
          <w:color w:val="1E7B34"/>
          <w:sz w:val="25"/>
          <w:szCs w:val="25"/>
          <w:rtl/>
        </w:rPr>
        <w:t>בבית הכנסת בן עזרא בפוסטאט</w:t>
      </w:r>
      <w:r>
        <w:rPr>
          <w:rFonts w:ascii="Assistant" w:hAnsi="Assistant" w:cs="Assistant" w:eastAsia="Assistant"/>
          <w:b/>
          <w:bCs/>
          <w:color w:val="1E7B34"/>
          <w:sz w:val="25"/>
          <w:szCs w:val="25"/>
          <w:rtl/>
        </w:rPr>
        <w:t xml:space="preserve">  ✔</w:t>
      </w:r>
    </w:p>
    <w:p>
      <w:pPr>
        <w:keepNext/>
        <w:bidi/>
        <w:spacing w:before="0" w:after="20"/>
        <w:jc w:val="both"/>
      </w:pPr>
      <w:r>
        <w:rPr>
          <w:rFonts w:ascii="Assistant" w:hAnsi="Assistant" w:cs="Assistant" w:eastAsia="Assistant"/>
          <w:b/>
          <w:bCs/>
          <w:sz w:val="25"/>
          <w:szCs w:val="25"/>
          <w:rtl/>
        </w:rPr>
        <w:t xml:space="preserve">   ג. </w:t>
      </w:r>
      <w:r>
        <w:rPr>
          <w:rFonts w:ascii="Assistant" w:hAnsi="Assistant" w:cs="Assistant" w:eastAsia="Assistant"/>
          <w:sz w:val="25"/>
          <w:szCs w:val="25"/>
          <w:rtl/>
        </w:rPr>
        <w:t>בארמון הח'ליף בבגדד</w:t>
      </w:r>
    </w:p>
    <w:p>
      <w:pPr>
        <w:bidi/>
        <w:spacing w:before="0" w:after="20"/>
        <w:jc w:val="both"/>
      </w:pPr>
      <w:r>
        <w:rPr>
          <w:rFonts w:ascii="Assistant" w:hAnsi="Assistant" w:cs="Assistant" w:eastAsia="Assistant"/>
          <w:b/>
          <w:bCs/>
          <w:sz w:val="25"/>
          <w:szCs w:val="25"/>
          <w:rtl/>
        </w:rPr>
        <w:t xml:space="preserve">   ד. </w:t>
      </w:r>
      <w:r>
        <w:rPr>
          <w:rFonts w:ascii="Assistant" w:hAnsi="Assistant" w:cs="Assistant" w:eastAsia="Assistant"/>
          <w:sz w:val="25"/>
          <w:szCs w:val="25"/>
          <w:rtl/>
        </w:rPr>
        <w:t>בבית הרמב"ם בטבריה</w:t>
      </w:r>
    </w:p>
    <w:p>
      <w:pPr>
        <w:keepNext/>
        <w:bidi/>
        <w:spacing w:before="120" w:after="60" w:line="264" w:lineRule="auto"/>
        <w:jc w:val="both"/>
      </w:pP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>5</w:t>
      </w: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 xml:space="preserve">. </w:t>
      </w:r>
      <w:r>
        <w:rPr>
          <w:rFonts w:ascii="Assistant" w:hAnsi="Assistant" w:cs="Assistant" w:eastAsia="Assistant"/>
          <w:b/>
          <w:bCs/>
          <w:sz w:val="26"/>
          <w:szCs w:val="26"/>
          <w:rtl/>
        </w:rPr>
        <w:t>מה הייתה עמדת הקראים?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 xml:space="preserve">  (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>7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 xml:space="preserve"> נק')</w:t>
      </w:r>
    </w:p>
    <w:p>
      <w:pPr>
        <w:keepNext/>
        <w:bidi/>
        <w:spacing w:before="0" w:after="20"/>
        <w:jc w:val="both"/>
      </w:pPr>
      <w:r>
        <w:rPr>
          <w:rFonts w:ascii="Assistant" w:hAnsi="Assistant" w:cs="Assistant" w:eastAsia="Assistant"/>
          <w:b/>
          <w:bCs/>
          <w:sz w:val="25"/>
          <w:szCs w:val="25"/>
          <w:rtl/>
        </w:rPr>
        <w:t xml:space="preserve">   א. </w:t>
      </w:r>
      <w:r>
        <w:rPr>
          <w:rFonts w:ascii="Assistant" w:hAnsi="Assistant" w:cs="Assistant" w:eastAsia="Assistant"/>
          <w:sz w:val="25"/>
          <w:szCs w:val="25"/>
          <w:rtl/>
        </w:rPr>
        <w:t>קיבלו רק את התלמוד הבבלי</w:t>
      </w:r>
    </w:p>
    <w:p>
      <w:pPr>
        <w:keepNext/>
        <w:bidi/>
        <w:spacing w:before="0" w:after="20"/>
        <w:jc w:val="both"/>
      </w:pPr>
      <w:r>
        <w:rPr>
          <w:rFonts w:ascii="Assistant" w:hAnsi="Assistant" w:cs="Assistant" w:eastAsia="Assistant"/>
          <w:b/>
          <w:bCs/>
          <w:sz w:val="25"/>
          <w:szCs w:val="25"/>
          <w:rtl/>
        </w:rPr>
        <w:t xml:space="preserve">   ב. </w:t>
      </w:r>
      <w:r>
        <w:rPr>
          <w:rFonts w:ascii="Assistant" w:hAnsi="Assistant" w:cs="Assistant" w:eastAsia="Assistant"/>
          <w:b/>
          <w:bCs/>
          <w:color w:val="1E7B34"/>
          <w:sz w:val="25"/>
          <w:szCs w:val="25"/>
          <w:rtl/>
        </w:rPr>
        <w:t>קיבלו רק את התורה שבכתב ודחו את התורה שבעל פה</w:t>
      </w:r>
      <w:r>
        <w:rPr>
          <w:rFonts w:ascii="Assistant" w:hAnsi="Assistant" w:cs="Assistant" w:eastAsia="Assistant"/>
          <w:b/>
          <w:bCs/>
          <w:color w:val="1E7B34"/>
          <w:sz w:val="25"/>
          <w:szCs w:val="25"/>
          <w:rtl/>
        </w:rPr>
        <w:t xml:space="preserve">  ✔</w:t>
      </w:r>
    </w:p>
    <w:p>
      <w:pPr>
        <w:keepNext/>
        <w:bidi/>
        <w:spacing w:before="0" w:after="20"/>
        <w:jc w:val="both"/>
      </w:pPr>
      <w:r>
        <w:rPr>
          <w:rFonts w:ascii="Assistant" w:hAnsi="Assistant" w:cs="Assistant" w:eastAsia="Assistant"/>
          <w:b/>
          <w:bCs/>
          <w:sz w:val="25"/>
          <w:szCs w:val="25"/>
          <w:rtl/>
        </w:rPr>
        <w:t xml:space="preserve">   ג. </w:t>
      </w:r>
      <w:r>
        <w:rPr>
          <w:rFonts w:ascii="Assistant" w:hAnsi="Assistant" w:cs="Assistant" w:eastAsia="Assistant"/>
          <w:sz w:val="25"/>
          <w:szCs w:val="25"/>
          <w:rtl/>
        </w:rPr>
        <w:t>תמכו בישיבת ארץ ישראל</w:t>
      </w:r>
    </w:p>
    <w:p>
      <w:pPr>
        <w:bidi/>
        <w:spacing w:before="0" w:after="20"/>
        <w:jc w:val="both"/>
      </w:pPr>
      <w:r>
        <w:rPr>
          <w:rFonts w:ascii="Assistant" w:hAnsi="Assistant" w:cs="Assistant" w:eastAsia="Assistant"/>
          <w:b/>
          <w:bCs/>
          <w:sz w:val="25"/>
          <w:szCs w:val="25"/>
          <w:rtl/>
        </w:rPr>
        <w:t xml:space="preserve">   ד. </w:t>
      </w:r>
      <w:r>
        <w:rPr>
          <w:rFonts w:ascii="Assistant" w:hAnsi="Assistant" w:cs="Assistant" w:eastAsia="Assistant"/>
          <w:sz w:val="25"/>
          <w:szCs w:val="25"/>
          <w:rtl/>
        </w:rPr>
        <w:t>דרשו לבטל את מס הגולגולת</w:t>
      </w:r>
    </w:p>
    <w:p>
      <w:pPr>
        <w:keepNext/>
        <w:bidi/>
        <w:spacing w:before="120" w:after="60" w:line="264" w:lineRule="auto"/>
        <w:jc w:val="both"/>
      </w:pP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>6</w:t>
      </w: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 xml:space="preserve">. </w:t>
      </w:r>
      <w:r>
        <w:rPr>
          <w:rFonts w:ascii="Assistant" w:hAnsi="Assistant" w:cs="Assistant" w:eastAsia="Assistant"/>
          <w:b/>
          <w:bCs/>
          <w:sz w:val="26"/>
          <w:szCs w:val="26"/>
          <w:rtl/>
        </w:rPr>
        <w:t>ציינו שתי מגבלות של «תנאי עומר», והסבירו מה הן מלמדות על מעמד היהודים.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 xml:space="preserve">  (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>10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 xml:space="preserve"> נק')</w:t>
      </w:r>
    </w:p>
    <w:tbl>
      <w:tblPr>
        <w:bidiVisual/>
        <w:tblW w:w="963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639"/>
      </w:tblGrid>
      <w:tr>
        <w:trPr>
          <w:cantSplit/>
        </w:trPr>
        <w:tc>
          <w:tcPr>
            <w:tcW w:type="dxa" w:w="10318"/>
            <w:tcW w:w="9639" w:type="dxa"/>
            <w:tcBorders>
              <w:top w:val="nil" w:sz="0" w:space="0" w:color="FFFFFF"/>
              <w:left w:val="nil" w:sz="0" w:space="0" w:color="FFFFFF"/>
              <w:bottom w:val="nil" w:sz="0" w:space="0" w:color="FFFFFF"/>
              <w:right w:val="single" w:sz="18" w:space="0" w:color="1E7B34"/>
            </w:tcBorders>
            <w:shd w:val="clear" w:color="auto" w:fill="EAF6EC"/>
            <w:tcMar>
              <w:top w:w="56" w:type="dxa"/>
              <w:left w:w="170" w:type="dxa"/>
              <w:bottom w:w="56" w:type="dxa"/>
              <w:right w:w="170" w:type="dxa"/>
            </w:tcMar>
            <w:vAlign w:val="center"/>
          </w:tcPr>
          <w:p>
            <w:pPr>
              <w:bidi/>
              <w:spacing w:before="0" w:after="0" w:line="264" w:lineRule="auto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1E7B34"/>
                <w:sz w:val="25"/>
                <w:szCs w:val="25"/>
                <w:rtl/>
              </w:rPr>
              <w:t xml:space="preserve">תשובה: </w:t>
            </w:r>
            <w:r>
              <w:rPr>
                <w:rFonts w:ascii="Assistant" w:hAnsi="Assistant" w:cs="Assistant" w:eastAsia="Assistant"/>
                <w:sz w:val="25"/>
                <w:szCs w:val="25"/>
                <w:rtl/>
              </w:rPr>
              <w:t>למשל: איסור לבנות בתי תפילה חדשים; חובת לבוש מבדיל (או: איסור לשאת נשק / לרכוב על סוס / לבנות בית גבוה). הן מלמדות שהיהודים היו מוגנים אבל במעמד נחות מהמוסלמים.</w:t>
            </w:r>
          </w:p>
        </w:tc>
      </w:tr>
    </w:tbl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sz w:val="6"/>
          <w:szCs w:val="6"/>
          <w:rtl/>
        </w:rPr>
        <w:t xml:space="preserve"> </w:t>
      </w:r>
    </w:p>
    <w:p>
      <w:pPr>
        <w:keepNext/>
        <w:bidi/>
        <w:spacing w:before="120" w:after="60" w:line="264" w:lineRule="auto"/>
        <w:jc w:val="both"/>
      </w:pP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>7</w:t>
      </w: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 xml:space="preserve">. </w:t>
      </w:r>
      <w:r>
        <w:rPr>
          <w:rFonts w:ascii="Assistant" w:hAnsi="Assistant" w:cs="Assistant" w:eastAsia="Assistant"/>
          <w:b/>
          <w:bCs/>
          <w:sz w:val="26"/>
          <w:szCs w:val="26"/>
          <w:rtl/>
        </w:rPr>
        <w:t>הסבירו את חלוקת התפקידים בין ראש הגולה לבין הגאונים.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 xml:space="preserve">  (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>12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 xml:space="preserve"> נק')</w:t>
      </w:r>
    </w:p>
    <w:tbl>
      <w:tblPr>
        <w:bidiVisual/>
        <w:tblW w:w="963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639"/>
      </w:tblGrid>
      <w:tr>
        <w:trPr>
          <w:cantSplit/>
        </w:trPr>
        <w:tc>
          <w:tcPr>
            <w:tcW w:type="dxa" w:w="10318"/>
            <w:tcW w:w="9639" w:type="dxa"/>
            <w:tcBorders>
              <w:top w:val="nil" w:sz="0" w:space="0" w:color="FFFFFF"/>
              <w:left w:val="nil" w:sz="0" w:space="0" w:color="FFFFFF"/>
              <w:bottom w:val="nil" w:sz="0" w:space="0" w:color="FFFFFF"/>
              <w:right w:val="single" w:sz="18" w:space="0" w:color="1E7B34"/>
            </w:tcBorders>
            <w:shd w:val="clear" w:color="auto" w:fill="EAF6EC"/>
            <w:tcMar>
              <w:top w:w="56" w:type="dxa"/>
              <w:left w:w="170" w:type="dxa"/>
              <w:bottom w:w="56" w:type="dxa"/>
              <w:right w:w="170" w:type="dxa"/>
            </w:tcMar>
            <w:vAlign w:val="center"/>
          </w:tcPr>
          <w:p>
            <w:pPr>
              <w:bidi/>
              <w:spacing w:before="0" w:after="0" w:line="264" w:lineRule="auto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1E7B34"/>
                <w:sz w:val="25"/>
                <w:szCs w:val="25"/>
                <w:rtl/>
              </w:rPr>
              <w:t xml:space="preserve">תשובה: </w:t>
            </w:r>
            <w:r>
              <w:rPr>
                <w:rFonts w:ascii="Assistant" w:hAnsi="Assistant" w:cs="Assistant" w:eastAsia="Assistant"/>
                <w:sz w:val="25"/>
                <w:szCs w:val="25"/>
                <w:rtl/>
              </w:rPr>
              <w:t>ראש הגולה – מנהיג מדיני מבית דוד, ייצג את היהודים מול הח'ליף ומינה דיינים. הגאונים – ראשי ישיבות סורא ופומבדיתא, מנהיגים רוחניים שפסקו הלכה וענו על שאלות.</w:t>
            </w:r>
          </w:p>
        </w:tc>
      </w:tr>
    </w:tbl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sz w:val="6"/>
          <w:szCs w:val="6"/>
          <w:rtl/>
        </w:rPr>
        <w:t xml:space="preserve"> </w:t>
      </w:r>
    </w:p>
    <w:p>
      <w:pPr>
        <w:keepNext/>
        <w:bidi/>
        <w:spacing w:before="120" w:after="60" w:line="264" w:lineRule="auto"/>
        <w:jc w:val="both"/>
      </w:pP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>8</w:t>
      </w: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 xml:space="preserve">. </w:t>
      </w:r>
      <w:r>
        <w:rPr>
          <w:rFonts w:ascii="Assistant" w:hAnsi="Assistant" w:cs="Assistant" w:eastAsia="Assistant"/>
          <w:b/>
          <w:bCs/>
          <w:sz w:val="26"/>
          <w:szCs w:val="26"/>
          <w:rtl/>
        </w:rPr>
        <w:t>כיצד חיזקה ספרות השו"ת את מעמד בבל ואת הקשר בין הקהילות?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 xml:space="preserve">  (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>13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 xml:space="preserve"> נק')</w:t>
      </w:r>
    </w:p>
    <w:tbl>
      <w:tblPr>
        <w:bidiVisual/>
        <w:tblW w:w="963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639"/>
      </w:tblGrid>
      <w:tr>
        <w:trPr>
          <w:cantSplit/>
        </w:trPr>
        <w:tc>
          <w:tcPr>
            <w:tcW w:type="dxa" w:w="10318"/>
            <w:tcW w:w="9639" w:type="dxa"/>
            <w:tcBorders>
              <w:top w:val="nil" w:sz="0" w:space="0" w:color="FFFFFF"/>
              <w:left w:val="nil" w:sz="0" w:space="0" w:color="FFFFFF"/>
              <w:bottom w:val="nil" w:sz="0" w:space="0" w:color="FFFFFF"/>
              <w:right w:val="single" w:sz="18" w:space="0" w:color="1E7B34"/>
            </w:tcBorders>
            <w:shd w:val="clear" w:color="auto" w:fill="EAF6EC"/>
            <w:tcMar>
              <w:top w:w="56" w:type="dxa"/>
              <w:left w:w="170" w:type="dxa"/>
              <w:bottom w:w="56" w:type="dxa"/>
              <w:right w:w="170" w:type="dxa"/>
            </w:tcMar>
            <w:vAlign w:val="center"/>
          </w:tcPr>
          <w:p>
            <w:pPr>
              <w:bidi/>
              <w:spacing w:before="0" w:after="0" w:line="264" w:lineRule="auto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1E7B34"/>
                <w:sz w:val="25"/>
                <w:szCs w:val="25"/>
                <w:rtl/>
              </w:rPr>
              <w:t xml:space="preserve">תשובה: </w:t>
            </w:r>
            <w:r>
              <w:rPr>
                <w:rFonts w:ascii="Assistant" w:hAnsi="Assistant" w:cs="Assistant" w:eastAsia="Assistant"/>
                <w:sz w:val="25"/>
                <w:szCs w:val="25"/>
                <w:rtl/>
              </w:rPr>
              <w:t>קהילות מכל העולם היהודי שלחו שאלות לגאונים ונהגו לפי תשובותיהם; כך התקבלה סמכות בבל, ונוצר קשר קבוע (גם בתרומות כסף) בין הקהילות למרכז.</w:t>
            </w:r>
          </w:p>
        </w:tc>
      </w:tr>
    </w:tbl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sz w:val="6"/>
          <w:szCs w:val="6"/>
          <w:rtl/>
        </w:rPr>
        <w:t xml:space="preserve"> </w:t>
      </w:r>
    </w:p>
    <w:p>
      <w:pPr>
        <w:keepNext/>
        <w:bidi/>
        <w:spacing w:before="120" w:after="60" w:line="264" w:lineRule="auto"/>
        <w:jc w:val="both"/>
      </w:pP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>9</w:t>
      </w: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 xml:space="preserve">. </w:t>
      </w:r>
      <w:r>
        <w:rPr>
          <w:rFonts w:ascii="Assistant" w:hAnsi="Assistant" w:cs="Assistant" w:eastAsia="Assistant"/>
          <w:b/>
          <w:bCs/>
          <w:sz w:val="26"/>
          <w:szCs w:val="26"/>
          <w:rtl/>
        </w:rPr>
        <w:t>תארו שני מאבקים של רס"ג, והסבירו מה משותף להם.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 xml:space="preserve">  (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>15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 xml:space="preserve"> נק')</w:t>
      </w:r>
    </w:p>
    <w:tbl>
      <w:tblPr>
        <w:bidiVisual/>
        <w:tblW w:w="963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639"/>
      </w:tblGrid>
      <w:tr>
        <w:trPr>
          <w:cantSplit/>
        </w:trPr>
        <w:tc>
          <w:tcPr>
            <w:tcW w:type="dxa" w:w="10318"/>
            <w:tcW w:w="9639" w:type="dxa"/>
            <w:tcBorders>
              <w:top w:val="nil" w:sz="0" w:space="0" w:color="FFFFFF"/>
              <w:left w:val="nil" w:sz="0" w:space="0" w:color="FFFFFF"/>
              <w:bottom w:val="nil" w:sz="0" w:space="0" w:color="FFFFFF"/>
              <w:right w:val="single" w:sz="18" w:space="0" w:color="1E7B34"/>
            </w:tcBorders>
            <w:shd w:val="clear" w:color="auto" w:fill="EAF6EC"/>
            <w:tcMar>
              <w:top w:w="56" w:type="dxa"/>
              <w:left w:w="170" w:type="dxa"/>
              <w:bottom w:w="56" w:type="dxa"/>
              <w:right w:w="170" w:type="dxa"/>
            </w:tcMar>
            <w:vAlign w:val="center"/>
          </w:tcPr>
          <w:p>
            <w:pPr>
              <w:bidi/>
              <w:spacing w:before="0" w:after="0" w:line="264" w:lineRule="auto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1E7B34"/>
                <w:sz w:val="25"/>
                <w:szCs w:val="25"/>
                <w:rtl/>
              </w:rPr>
              <w:t xml:space="preserve">תשובה: </w:t>
            </w:r>
            <w:r>
              <w:rPr>
                <w:rFonts w:ascii="Assistant" w:hAnsi="Assistant" w:cs="Assistant" w:eastAsia="Assistant"/>
                <w:sz w:val="25"/>
                <w:szCs w:val="25"/>
                <w:rtl/>
              </w:rPr>
              <w:t>מאבק בקראים – הגנה על התורה שבעל פה; מחלוקת בן מאיר – הגנה על לוח השנה הבבלי מול ישיבת ארץ ישראל. המשותף: מאבק על אחדות ההלכה ועל סמכות ההנהגה (בבל/חז"ל) מול פילוג.</w:t>
            </w:r>
          </w:p>
        </w:tc>
      </w:tr>
    </w:tbl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sz w:val="6"/>
          <w:szCs w:val="6"/>
          <w:rtl/>
        </w:rPr>
        <w:t xml:space="preserve"> </w:t>
      </w:r>
    </w:p>
    <w:p>
      <w:pPr>
        <w:keepNext/>
        <w:bidi/>
        <w:spacing w:before="120" w:after="60" w:line="264" w:lineRule="auto"/>
        <w:jc w:val="both"/>
      </w:pP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>10</w:t>
      </w: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 xml:space="preserve">. </w:t>
      </w:r>
      <w:r>
        <w:rPr>
          <w:rFonts w:ascii="Assistant" w:hAnsi="Assistant" w:cs="Assistant" w:eastAsia="Assistant"/>
          <w:b/>
          <w:bCs/>
          <w:sz w:val="26"/>
          <w:szCs w:val="26"/>
          <w:rtl/>
        </w:rPr>
        <w:t>השוו בין «משנה תורה» ל«מורה נבוכים»: שפה, קהל יעד ומטרה. מה ההשוואה מלמדת על הרמב"ם?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 xml:space="preserve">  (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>15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 xml:space="preserve"> נק')</w:t>
      </w:r>
    </w:p>
    <w:tbl>
      <w:tblPr>
        <w:bidiVisual/>
        <w:tblW w:w="963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639"/>
      </w:tblGrid>
      <w:tr>
        <w:trPr>
          <w:cantSplit/>
        </w:trPr>
        <w:tc>
          <w:tcPr>
            <w:tcW w:type="dxa" w:w="10318"/>
            <w:tcW w:w="9639" w:type="dxa"/>
            <w:tcBorders>
              <w:top w:val="nil" w:sz="0" w:space="0" w:color="FFFFFF"/>
              <w:left w:val="nil" w:sz="0" w:space="0" w:color="FFFFFF"/>
              <w:bottom w:val="nil" w:sz="0" w:space="0" w:color="FFFFFF"/>
              <w:right w:val="single" w:sz="18" w:space="0" w:color="1E7B34"/>
            </w:tcBorders>
            <w:shd w:val="clear" w:color="auto" w:fill="EAF6EC"/>
            <w:tcMar>
              <w:top w:w="56" w:type="dxa"/>
              <w:left w:w="170" w:type="dxa"/>
              <w:bottom w:w="56" w:type="dxa"/>
              <w:right w:w="170" w:type="dxa"/>
            </w:tcMar>
            <w:vAlign w:val="center"/>
          </w:tcPr>
          <w:p>
            <w:pPr>
              <w:bidi/>
              <w:spacing w:before="0" w:after="0" w:line="264" w:lineRule="auto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1E7B34"/>
                <w:sz w:val="25"/>
                <w:szCs w:val="25"/>
                <w:rtl/>
              </w:rPr>
              <w:t xml:space="preserve">תשובה: </w:t>
            </w:r>
            <w:r>
              <w:rPr>
                <w:rFonts w:ascii="Assistant" w:hAnsi="Assistant" w:cs="Assistant" w:eastAsia="Assistant"/>
                <w:sz w:val="25"/>
                <w:szCs w:val="25"/>
                <w:rtl/>
              </w:rPr>
              <w:t>משנה תורה – עברית, לכל העם, סידור כל ההלכה. מורה נבוכים – ערבית־יהודית, לאנשים שלמדו פילוסופיה ומתלבטים, יישוב האמונה עם השכל. ההשוואה מלמדת שהרמב"ם היה גם פוסק וגם הוגה, ששולב בתרבות הסביבה ושאף לאחד את העם.</w:t>
            </w:r>
          </w:p>
        </w:tc>
      </w:tr>
    </w:tbl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sz w:val="6"/>
          <w:szCs w:val="6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Noto Sans Hebrew" w:hAnsi="Noto Sans Hebrew" w:cs="Noto Sans Hebrew" w:eastAsia="Noto Sans Hebrew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ssistant" w:hAnsi="Assistant" w:cs="Assistant" w:eastAsia="Assistant"/>
        <w:b/>
        <w:bCs/>
        <w:color w:val="555555"/>
        <w:sz w:val="24"/>
        <w:szCs w:val="24"/>
        <w:rtl/>
        <w:b/>
        <w:bCs/>
        <w:color w:val="666666"/>
        <w:sz w:val="22"/>
        <w:szCs w:val="22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ans Hebrew" w:hAnsi="Noto Sans Hebrew" w:cs="Noto Sans Hebrew" w:eastAsia="Noto Sans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