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עיצוב זכרון השואה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uto" w:line="432"/>
        <w:jc w:val="right"/>
        <w:rPr/>
      </w:pPr>
      <w:r>
        <w:rPr>
          <w:bCs/>
          <w:szCs w:val="21"/>
          <w:rtl w:val="true"/>
        </w:rPr>
        <w:t>ציר זמן</w:t>
      </w:r>
      <w:r>
        <w:rPr>
          <w:b/>
          <w:sz w:val="21"/>
          <w:rtl w:val="true"/>
        </w:rPr>
        <w:t>: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הקמת יד ושם </w:t>
      </w:r>
      <w:r>
        <w:rPr>
          <w:sz w:val="21"/>
          <w:rtl w:val="true"/>
        </w:rPr>
        <w:t>(</w:t>
      </w:r>
      <w:r>
        <w:rPr>
          <w:sz w:val="21"/>
        </w:rPr>
        <w:t>1953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כמוסד הלאומי לזכרון השואה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תיעוד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הנצחה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 ומחקר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1954⁠-⁠1958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משפט קסטנר </w:t>
      </w:r>
      <w:r>
        <w:rPr>
          <w:sz w:val="21"/>
          <w:rtl w:val="true"/>
        </w:rPr>
        <w:t>(</w:t>
      </w:r>
      <w:r>
        <w:rPr>
          <w:sz w:val="21"/>
        </w:rPr>
        <w:t>1954-1958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משפט בבית המשפט המחוזי </w:t>
      </w:r>
      <w:r>
        <w:rPr>
          <w:sz w:val="21"/>
        </w:rPr>
        <w:t>1954-1955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וערעור בבית המשפט העליון שהסתיים בינואר </w:t>
      </w:r>
      <w:r>
        <w:rPr>
          <w:sz w:val="21"/>
        </w:rPr>
        <w:t>1958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עורר מחלוקת ציבורית וביקורת חריפה על התנהלות ההנהגה בשואה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1959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חוק יום הזיכרון לשואה ולגבורה </w:t>
      </w:r>
      <w:r>
        <w:rPr>
          <w:sz w:val="21"/>
          <w:rtl w:val="true"/>
        </w:rPr>
        <w:t>(</w:t>
      </w:r>
      <w:r>
        <w:rPr>
          <w:sz w:val="21"/>
        </w:rPr>
        <w:t>1959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עיגון בחוק של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ז בניסן כיום זיכרון ממלכתי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>
          <w:sz w:val="21"/>
        </w:rPr>
      </w:pPr>
      <w:r>
        <w:rPr>
          <w:sz w:val="21"/>
        </w:rPr>
        <w:t>1961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 w:before="0" w:after="0"/>
        <w:ind w:left="709" w:firstLine="992"/>
        <w:jc w:val="right"/>
        <w:rPr/>
      </w:pPr>
      <w:r>
        <w:rPr>
          <w:szCs w:val="21"/>
          <w:rtl w:val="true"/>
        </w:rPr>
        <w:t xml:space="preserve">משפט אייכמן </w:t>
      </w:r>
      <w:r>
        <w:rPr>
          <w:sz w:val="21"/>
          <w:rtl w:val="true"/>
        </w:rPr>
        <w:t>(</w:t>
      </w:r>
      <w:r>
        <w:rPr>
          <w:sz w:val="21"/>
        </w:rPr>
        <w:t>1961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סימן את המפנה להאזנה פתוחה לעדויות הניצולים</w:t>
      </w:r>
      <w:r>
        <w:rPr>
          <w:sz w:val="21"/>
          <w:rtl w:val="true"/>
        </w:rPr>
        <w:t>.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lineRule="auto" w:line="432"/>
        <w:ind w:left="709" w:firstLine="992"/>
        <w:jc w:val="right"/>
        <w:rPr/>
      </w:pPr>
      <w:r>
        <w:rPr>
          <w:szCs w:val="21"/>
          <w:rtl w:val="true"/>
        </w:rPr>
        <w:t xml:space="preserve">הציר מסודר לפי תחילת האירוע או התקופה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תקופות יכולות לחפוף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הנוסח מחומר הלימוד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שנות החקיקה </w:t>
      </w:r>
      <w:r>
        <w:rPr>
          <w:sz w:val="21"/>
        </w:rPr>
        <w:t>1953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ו</w:t>
      </w:r>
      <w:r>
        <w:rPr>
          <w:sz w:val="21"/>
          <w:rtl w:val="true"/>
        </w:rPr>
        <w:t>-</w:t>
      </w:r>
      <w:r>
        <w:rPr>
          <w:sz w:val="21"/>
        </w:rPr>
        <w:t>1959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אומתו מול נוסח החוקים באתר הכנסת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עיצוב זכרון השואה</w:t>
      </w:r>
      <w:r>
        <w:rPr>
          <w:szCs w:val="21"/>
          <w:rtl w:val="true"/>
        </w:rPr>
        <w:t xml:space="preserve"> —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הסכם השילומים התלמיד צריך לתאר את השתלשלות העניינים בסוגיה זו בקצרה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מדוע סוגיה זו עוררה מחלוקת בחברה הישראלית בשנות החמישים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הדיון הציבורי בנושא עורר רגשות עזים ביותר מכיוון שהטראומה של השואה עדיין הייתה טרייה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ובחברה הישראלית היו ניצולי שואה רבים וגם ותיקים רבים שקרוביהם נספו בשואה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הדיון בשילומים העלה על סדר היום דילמות מוסריות כבדות משקל</w:t>
      </w:r>
      <w:r>
        <w:rPr>
          <w:sz w:val="21"/>
          <w:rtl w:val="true"/>
        </w:rPr>
        <w:t>: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הסכם השילומים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המשך שאלת היחס בין העם היהודי ומדינת ישראל ובין העם הגרמני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ואם ראוי לקיים מגעים מדיניים למען מטרות הכרחיות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מצד אחד גרמניה נתפסה כמדינה מאיימת ומקוללת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ומצד אחר מדינת ישראל הייתה זקוקה לכספים בדחיפות והממשלה ראתה בכספי הפיצויים תנאי הכרחי לקליטת העלייה הגדולה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ובתוכה הניצולים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ולהצלת המשק מקריסה כלכלית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האם ראוי לקבל תשלום כספי כפיצוי על הסבל הנורא שעברו היהודים בשואה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האם אפשר לראות בתשלום הכספי מחילה לעם הגרמני</w:t>
      </w:r>
      <w:r>
        <w:rPr>
          <w:sz w:val="21"/>
          <w:rtl w:val="true"/>
        </w:rPr>
        <w:t xml:space="preserve">? </w:t>
      </w:r>
      <w:r>
        <w:rPr>
          <w:szCs w:val="21"/>
          <w:rtl w:val="true"/>
        </w:rPr>
        <w:t>האם זו פגיעה ב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כבוד הלאומי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 xml:space="preserve">לקבל כסף ממי שיש לו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דם על הידיים</w:t>
      </w:r>
      <w:r>
        <w:rPr>
          <w:sz w:val="21"/>
          <w:rtl w:val="true"/>
        </w:rPr>
        <w:t xml:space="preserve">"? </w:t>
      </w:r>
      <w:r>
        <w:rPr>
          <w:szCs w:val="21"/>
          <w:rtl w:val="true"/>
        </w:rPr>
        <w:t>האם מדינת ישראל רשאית לייצג את קורבנות השואה</w:t>
      </w:r>
      <w:r>
        <w:rPr>
          <w:sz w:val="21"/>
          <w:rtl w:val="true"/>
        </w:rPr>
        <w:t>?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הדיון הציבורי היה מלווה במאבק פוליטי בין מפלגות שהתנגדו להסכם ובין מפלגת השלטון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מפא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>מאבק זה ליבה את המחלוקת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מחוץ לכנסת נערכו הפגנות שלוו בהתפרעויות והאווירה הייתה של מלחמת אזרחים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פרשת קסטנר התלמיד צריך לתאר את השתלשלות העניינים בסוגיה זו בקצרה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מדוע סוגיה זו עוררה מחלוקת בחברה הישראלית בשנות החמישים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הפרשה הציפה רגשות עזים ביותר שהחברה הישראלית התקשתה להתמודד איתם בסמיכות זמנים כה קרובה לשואה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מצד הוותיקים תערובת של תחושת כעס וחשדנות כלפי ניצולים ושל תחושת אשם ומבוכה שלא עשו די להצלת יהודי אירופה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ומצד הניצולים תחושת אשם משום ששרדו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תחושת בושה וגם רצון לנקום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המשפט סוקר בהרחבה בעיתונות ועורר הדים רבים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הנטייה של הציבור הישראלי הוותיק לשפוט את ניצולי השואה בצד תפיסה פשטנית ודיכוטומית של התנהגות היהודים בשואה חידדו את ההאשמות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התובע קבע כי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קסטנר מכר את נשמתו לשטן</w:t>
      </w:r>
      <w:r>
        <w:rPr>
          <w:sz w:val="21"/>
          <w:rtl w:val="true"/>
        </w:rPr>
        <w:t xml:space="preserve">"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נעשה שימוש פוליטי בפרשה קסטנר זוהה כאיש של מפלגת השלטון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קסטנר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שהיה עובד מדינה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יוצג על ידי פרקליט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את הצד השני ייצג עורך דין שמואל תמיר שהיה פעיל חרות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המשפט נווט להתקפה פוליטית על מפא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י והסוכנות שהסתירו ידיעות על השואה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המשפט הפך לנושא המרכזי במערכת הבחירות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הרצח של קסטנר זיעזע את הציבור הישראלי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המשפט נהפך לאירוע סמלי מדינת ישראל כנציגת העם היהודי מייצגת את קורבנות השואה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>המשפט התרחש בבית העם ולא באולם בית המשפט המחוזי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את התביעה ייצג היועץ המשפטי לממשלה ולא עורך דין רגיל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פומביות המשפט באולם נכח קהל רב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הוא הועבר בשידור ישיר ברדיו וסוקר בעיתונות בארץ ובעולם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הסיקור התקשורתי העלה את נושא השואה לסדר היום הציבורי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במשפט העידו ניצולים רבים והציבור בישראל נחשף לסיפורי ההישרדות האישיים שלהם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 xml:space="preserve">השפעת סיפורם של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האנשים הפשוטים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ולא רק של גיבורי המחתרות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הרושם שהותירה עדותו של ק</w:t>
      </w:r>
      <w:r>
        <w:rPr>
          <w:sz w:val="21"/>
          <w:rtl w:val="true"/>
        </w:rPr>
        <w:t xml:space="preserve">' </w:t>
      </w:r>
      <w:r>
        <w:rPr>
          <w:szCs w:val="21"/>
          <w:rtl w:val="true"/>
        </w:rPr>
        <w:t>צטניק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זיכרון השואה בשנות החמישים הקמת יד ושם </w:t>
      </w:r>
      <w:r>
        <w:rPr>
          <w:sz w:val="21"/>
          <w:rtl w:val="true"/>
        </w:rPr>
        <w:t>(</w:t>
      </w:r>
      <w:r>
        <w:rPr>
          <w:sz w:val="21"/>
        </w:rPr>
        <w:t>1953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כמוסד הלאומי לזכרון השואה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תיעוד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הנצחה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חינוך ומחקר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חוק יום הזיכרון לשואה ולגבורה </w:t>
      </w:r>
      <w:r>
        <w:rPr>
          <w:sz w:val="21"/>
          <w:rtl w:val="true"/>
        </w:rPr>
        <w:t>(</w:t>
      </w:r>
      <w:r>
        <w:rPr>
          <w:sz w:val="21"/>
        </w:rPr>
        <w:t>1959</w:t>
      </w:r>
      <w:r>
        <w:rPr>
          <w:sz w:val="21"/>
          <w:rtl w:val="true"/>
        </w:rPr>
        <w:t xml:space="preserve">): </w:t>
      </w:r>
      <w:r>
        <w:rPr>
          <w:szCs w:val="21"/>
          <w:rtl w:val="true"/>
        </w:rPr>
        <w:t>עיגון בחוק של כ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ז בניסן כיום זיכרון ממלכתי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הנצחה ראשונית התמקדה בגבורה ובמרד לצד השמדה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גבורת הגטאות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פרוש זיכרון השואה כנרטיב לאומי</w:t>
      </w:r>
      <w:r>
        <w:rPr>
          <w:sz w:val="21"/>
          <w:rtl w:val="true"/>
        </w:rPr>
        <w:t xml:space="preserve">).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תהליכים בעיצוב הזיכרון משפט קסטנר </w:t>
      </w:r>
      <w:r>
        <w:rPr>
          <w:sz w:val="21"/>
          <w:rtl w:val="true"/>
        </w:rPr>
        <w:t>(</w:t>
      </w:r>
      <w:r>
        <w:rPr>
          <w:sz w:val="21"/>
        </w:rPr>
        <w:t>1954-1958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 xml:space="preserve">משפט בבית המשפט המחוזי </w:t>
      </w:r>
      <w:r>
        <w:rPr>
          <w:sz w:val="21"/>
        </w:rPr>
        <w:t>1954-1955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וערעור בבית המשפט העליון שהסתיים בינואר </w:t>
      </w:r>
      <w:r>
        <w:rPr>
          <w:sz w:val="21"/>
        </w:rPr>
        <w:t>1958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עורר מחלוקת ציבורית וביקורת חריפה על התנהלות ההנהגה בשואה</w:t>
      </w:r>
      <w:r>
        <w:rPr>
          <w:sz w:val="21"/>
          <w:rtl w:val="true"/>
        </w:rPr>
        <w:t xml:space="preserve">; </w:t>
      </w:r>
      <w:r>
        <w:rPr>
          <w:szCs w:val="21"/>
          <w:rtl w:val="true"/>
        </w:rPr>
        <w:t xml:space="preserve">משפט אייכמן </w:t>
      </w:r>
      <w:r>
        <w:rPr>
          <w:sz w:val="21"/>
          <w:rtl w:val="true"/>
        </w:rPr>
        <w:t>(</w:t>
      </w:r>
      <w:r>
        <w:rPr>
          <w:sz w:val="21"/>
        </w:rPr>
        <w:t>1961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סימן את המפנה להאזנה פתוחה לעדויות הניצולים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התפתחות מחקר השואה והוראתה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יד ושם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מכוני מחקר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לימודי שואה בבתי הספר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 xml:space="preserve">עיצוב זכרון השואה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מאפייני ההנצחה בישראל שילוב של זיכרון ממלכתי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טקסים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ימי זיכרון</w:t>
      </w:r>
      <w:r>
        <w:rPr>
          <w:sz w:val="21"/>
          <w:rtl w:val="true"/>
        </w:rPr>
        <w:t xml:space="preserve">) </w:t>
      </w:r>
      <w:r>
        <w:rPr>
          <w:szCs w:val="21"/>
          <w:rtl w:val="true"/>
        </w:rPr>
        <w:t>עם זיכרון אישי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משפחתי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השואה כיסוד בזהות הישראלית</w:t>
      </w:r>
      <w:r>
        <w:rPr>
          <w:sz w:val="21"/>
          <w:rtl w:val="true"/>
        </w:rPr>
        <w:t>: "</w:t>
      </w:r>
      <w:r>
        <w:rPr>
          <w:szCs w:val="21"/>
          <w:rtl w:val="true"/>
        </w:rPr>
        <w:t>מן השואה לתקומה</w:t>
      </w:r>
      <w:r>
        <w:rPr>
          <w:sz w:val="21"/>
          <w:rtl w:val="true"/>
        </w:rPr>
        <w:t xml:space="preserve">" - </w:t>
      </w:r>
      <w:r>
        <w:rPr>
          <w:szCs w:val="21"/>
          <w:rtl w:val="true"/>
        </w:rPr>
        <w:t>הקשר בין השואה להקמת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מאבקים על אופי הזיכרון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בין גבורה לשרידות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בין אוניברסלי ליהודי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>לאומי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הדיון הציבורי היה מלווה במאבק פוליטי המשפט נהפך לאירוע סמלי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א</w:t>
      </w:r>
      <w:r>
        <w:rPr>
          <w:rtl w:val="true"/>
        </w:rPr>
        <w:t xml:space="preserve">. </w:t>
      </w:r>
      <w:r>
        <w:rPr>
          <w:rtl w:val="true"/>
        </w:rPr>
        <w:t>הסכם השילומים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הדיון הציבורי היה מלווה במאבק פוליטי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נעשה שימוש פוליטי בפרשה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המשפט נהפך לאירוע סמלי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זיכרון השואה בשנות החמישים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תהליכים בעיצוב הזיכרון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3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