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לשון ועברית · כיתה י'   |   מחוון למבחן</w:t>
      </w:r>
    </w:p>
    <w:p>
      <w:pPr>
        <w:bidi/>
        <w:spacing w:before="0" w:after="120"/>
        <w:jc w:val="both"/>
      </w:pPr>
      <w:r>
        <w:rPr>
          <w:rFonts w:ascii="Gisha" w:hAnsi="Gisha" w:cs="Gisha"/>
          <w:b/>
          <w:bCs/>
          <w:color w:val="6D28D9"/>
          <w:sz w:val="44"/>
          <w:szCs w:val="44"/>
          <w:rtl/>
        </w:rPr>
        <w:t>🎯 מבחן מסכם – רמה גבוהה · לשון כיתה י' – מחוון</w:t>
      </w:r>
    </w:p>
    <w:p>
      <w:pPr>
        <w:bidi/>
        <w:spacing w:before="0" w:after="120"/>
        <w:jc w:val="both"/>
      </w:pPr>
      <w:r>
        <w:rPr>
          <w:color w:val="5B6476"/>
          <w:sz w:val="22"/>
          <w:szCs w:val="22"/>
          <w:rtl/>
        </w:rPr>
        <w:t>משך הבחינה: שלוש שעות · סך הכול 100 נקודות. המבחן בנוי במתכונת בחינת הבגרות «עברית: הבנה, הבעה ולשון» (שאלון 11281), ברמת הבגרות. יש לענות על כל השאלות. קראו את שני המאמרים בעיון; מספרי השורות מופיעים בשוליים. בשאלות הפתוחות ענו במשפטים שלמים ובמילים שלכם, ובססו את תשובותיכם על הטקסט. מותר להשתמש במילון עברי־עברי.</w:t>
      </w:r>
    </w:p>
    <w:p>
      <w:pPr>
        <w:bidi/>
        <w:spacing w:before="200" w:after="80"/>
        <w:jc w:val="both"/>
      </w:pPr>
      <w:r>
        <w:rPr>
          <w:rFonts w:ascii="Gisha" w:hAnsi="Gisha" w:cs="Gisha"/>
          <w:b/>
          <w:bCs/>
          <w:color w:val="6D28D9"/>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חלק</w:t>
            </w:r>
          </w:p>
        </w:tc>
        <w:tc>
          <w:tcPr>
            <w:tcW w:type="dxa" w:w="3326"/>
            <w:shd w:val="clear" w:color="auto" w:fill="6d28d9"/>
          </w:tcPr>
          <w:p>
            <w:pPr>
              <w:bidi/>
              <w:spacing w:before="0" w:after="40"/>
              <w:jc w:val="both"/>
            </w:pPr>
            <w:r>
              <w:rPr>
                <w:b/>
                <w:bCs/>
                <w:color w:val="FFFFFF"/>
                <w:rtl/>
              </w:rPr>
              <w:t>ניקוד מרבי</w:t>
            </w:r>
          </w:p>
        </w:tc>
        <w:tc>
          <w:tcPr>
            <w:tcW w:type="dxa" w:w="3326"/>
            <w:shd w:val="clear" w:color="auto" w:fill="6d28d9"/>
          </w:tcPr>
          <w:p>
            <w:pPr>
              <w:bidi/>
              <w:spacing w:before="0" w:after="40"/>
              <w:jc w:val="both"/>
            </w:pPr>
            <w:r>
              <w:rPr>
                <w:b/>
                <w:bCs/>
                <w:color w:val="FFFFFF"/>
                <w:rtl/>
              </w:rPr>
              <w:t>ניקוד שהתקבל</w:t>
            </w:r>
          </w:p>
        </w:tc>
      </w:tr>
      <w:tr>
        <w:tc>
          <w:tcPr>
            <w:tcW w:type="dxa" w:w="3326"/>
          </w:tcPr>
          <w:p>
            <w:pPr>
              <w:bidi/>
              <w:spacing w:before="0" w:after="40"/>
              <w:jc w:val="both"/>
            </w:pPr>
            <w:r>
              <w:rPr>
                <w:rtl/>
              </w:rPr>
              <w:t>חלק א: הבנה והבעה</w:t>
            </w:r>
          </w:p>
        </w:tc>
        <w:tc>
          <w:tcPr>
            <w:tcW w:type="dxa" w:w="3326"/>
          </w:tcPr>
          <w:p>
            <w:pPr>
              <w:bidi/>
              <w:spacing w:before="0" w:after="40"/>
              <w:jc w:val="both"/>
            </w:pPr>
            <w:r>
              <w:rPr>
                <w:rtl/>
              </w:rPr>
              <w:t>50</w:t>
            </w:r>
          </w:p>
        </w:tc>
        <w:tc>
          <w:tcPr>
            <w:tcW w:type="dxa" w:w="3326"/>
          </w:tcPr>
          <w:p>
            <w:pPr>
              <w:bidi/>
              <w:spacing w:before="0" w:after="40"/>
              <w:jc w:val="both"/>
            </w:pPr>
            <w:r>
              <w:rPr>
                <w:rtl/>
              </w:rPr>
            </w:r>
          </w:p>
        </w:tc>
      </w:tr>
      <w:tr>
        <w:tc>
          <w:tcPr>
            <w:tcW w:type="dxa" w:w="3326"/>
          </w:tcPr>
          <w:p>
            <w:pPr>
              <w:bidi/>
              <w:spacing w:before="0" w:after="40"/>
              <w:jc w:val="both"/>
            </w:pPr>
            <w:r>
              <w:rPr>
                <w:rtl/>
              </w:rPr>
              <w:t>חלק ב: שם המספר ואותיות השימוש</w:t>
            </w:r>
          </w:p>
        </w:tc>
        <w:tc>
          <w:tcPr>
            <w:tcW w:type="dxa" w:w="3326"/>
          </w:tcPr>
          <w:p>
            <w:pPr>
              <w:bidi/>
              <w:spacing w:before="0" w:after="40"/>
              <w:jc w:val="both"/>
            </w:pPr>
            <w:r>
              <w:rPr>
                <w:rtl/>
              </w:rPr>
              <w:t>10</w:t>
            </w:r>
          </w:p>
        </w:tc>
        <w:tc>
          <w:tcPr>
            <w:tcW w:type="dxa" w:w="3326"/>
          </w:tcPr>
          <w:p>
            <w:pPr>
              <w:bidi/>
              <w:spacing w:before="0" w:after="40"/>
              <w:jc w:val="both"/>
            </w:pPr>
            <w:r>
              <w:rPr>
                <w:rtl/>
              </w:rPr>
            </w:r>
          </w:p>
        </w:tc>
      </w:tr>
      <w:tr>
        <w:tc>
          <w:tcPr>
            <w:tcW w:type="dxa" w:w="3326"/>
          </w:tcPr>
          <w:p>
            <w:pPr>
              <w:bidi/>
              <w:spacing w:before="0" w:after="40"/>
              <w:jc w:val="both"/>
            </w:pPr>
            <w:r>
              <w:rPr>
                <w:rtl/>
              </w:rPr>
              <w:t>חלק ג: תחביר</w:t>
            </w:r>
          </w:p>
        </w:tc>
        <w:tc>
          <w:tcPr>
            <w:tcW w:type="dxa" w:w="3326"/>
          </w:tcPr>
          <w:p>
            <w:pPr>
              <w:bidi/>
              <w:spacing w:before="0" w:after="40"/>
              <w:jc w:val="both"/>
            </w:pPr>
            <w:r>
              <w:rPr>
                <w:rtl/>
              </w:rPr>
              <w:t>20</w:t>
            </w:r>
          </w:p>
        </w:tc>
        <w:tc>
          <w:tcPr>
            <w:tcW w:type="dxa" w:w="3326"/>
          </w:tcPr>
          <w:p>
            <w:pPr>
              <w:bidi/>
              <w:spacing w:before="0" w:after="40"/>
              <w:jc w:val="both"/>
            </w:pPr>
            <w:r>
              <w:rPr>
                <w:rtl/>
              </w:rPr>
            </w:r>
          </w:p>
        </w:tc>
      </w:tr>
      <w:tr>
        <w:tc>
          <w:tcPr>
            <w:tcW w:type="dxa" w:w="3326"/>
          </w:tcPr>
          <w:p>
            <w:pPr>
              <w:bidi/>
              <w:spacing w:before="0" w:after="40"/>
              <w:jc w:val="both"/>
            </w:pPr>
            <w:r>
              <w:rPr>
                <w:rtl/>
              </w:rPr>
              <w:t>חלק ד: מערכת הצורות</w:t>
            </w:r>
          </w:p>
        </w:tc>
        <w:tc>
          <w:tcPr>
            <w:tcW w:type="dxa" w:w="3326"/>
          </w:tcPr>
          <w:p>
            <w:pPr>
              <w:bidi/>
              <w:spacing w:before="0" w:after="40"/>
              <w:jc w:val="both"/>
            </w:pPr>
            <w:r>
              <w:rPr>
                <w:rtl/>
              </w:rPr>
              <w:t>20</w:t>
            </w:r>
          </w:p>
        </w:tc>
        <w:tc>
          <w:tcPr>
            <w:tcW w:type="dxa" w:w="3326"/>
          </w:tcPr>
          <w:p>
            <w:pPr>
              <w:bidi/>
              <w:spacing w:before="0" w:after="40"/>
              <w:jc w:val="both"/>
            </w:pPr>
            <w:r>
              <w:rPr>
                <w:rtl/>
              </w:rPr>
            </w:r>
          </w:p>
        </w:tc>
      </w:tr>
      <w:tr>
        <w:tc>
          <w:tcPr>
            <w:tcW w:type="dxa" w:w="3326"/>
          </w:tcPr>
          <w:p>
            <w:pPr>
              <w:bidi/>
              <w:spacing w:before="0" w:after="40"/>
              <w:jc w:val="both"/>
            </w:pPr>
            <w:r>
              <w:rPr>
                <w:rtl/>
              </w:rPr>
              <w:t>סה"כ</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Gisha" w:hAnsi="Gisha" w:cs="Gisha"/>
          <w:b/>
          <w:bCs/>
          <w:color w:val="6D28D9"/>
          <w:sz w:val="32"/>
          <w:szCs w:val="32"/>
          <w:rtl/>
        </w:rPr>
        <w:t>חלק א: הבנה והבעה (50 נק')</w:t>
      </w:r>
    </w:p>
    <w:p>
      <w:pPr>
        <w:bidi/>
        <w:spacing w:before="160" w:after="60"/>
        <w:jc w:val="both"/>
      </w:pPr>
      <w:r>
        <w:rPr>
          <w:b/>
          <w:bCs/>
          <w:sz w:val="26"/>
          <w:szCs w:val="26"/>
          <w:rtl/>
        </w:rPr>
        <w:t>1. בשורות 1–5 מציג הכותב תפיסה שהוא מבקש לערער עליה. מהי תפיסה זו, ומהי הטענה שהוא מציע במקומה? נסחו במילים שלכם. (3 נק')</w:t>
      </w:r>
    </w:p>
    <w:p>
      <w:pPr>
        <w:bidi/>
        <w:spacing w:before="0" w:after="80"/>
        <w:jc w:val="both"/>
      </w:pPr>
      <w:r>
        <w:rPr>
          <w:color w:val="0F7A4F"/>
          <w:rtl/>
        </w:rPr>
        <w:t>תשובה אפשרית: התפיסה: טעות או כישלון הם הוכחה לחוסר יכולת, ולכן יש להסתירם (1.5). הטענה: כישלון שמלווה בהתבוננות ובתיקון הוא אחד ממנועי הלמידה, ולא ההפך שלה (1.5).</w:t>
      </w:r>
    </w:p>
    <w:p>
      <w:pPr>
        <w:bidi/>
        <w:spacing w:before="160" w:after="60"/>
        <w:jc w:val="both"/>
      </w:pPr>
      <w:r>
        <w:rPr>
          <w:b/>
          <w:bCs/>
          <w:sz w:val="26"/>
          <w:szCs w:val="26"/>
          <w:rtl/>
        </w:rPr>
        <w:t>2. מבנה הטיעון במאמר 1: כתבו היכן בטקסט מופיע כל רכיב (מספרי השורות), ונסחו את תוכנו במשפט אחד. (6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רכיב הטיעון</w:t>
            </w:r>
          </w:p>
        </w:tc>
        <w:tc>
          <w:tcPr>
            <w:tcW w:type="dxa" w:w="3326"/>
            <w:shd w:val="clear" w:color="auto" w:fill="6d28d9"/>
          </w:tcPr>
          <w:p>
            <w:pPr>
              <w:bidi/>
              <w:spacing w:before="0" w:after="40"/>
              <w:jc w:val="both"/>
            </w:pPr>
            <w:r>
              <w:rPr>
                <w:b/>
                <w:bCs/>
                <w:color w:val="FFFFFF"/>
                <w:rtl/>
              </w:rPr>
              <w:t>היכן בטקסט</w:t>
            </w:r>
          </w:p>
        </w:tc>
        <w:tc>
          <w:tcPr>
            <w:tcW w:type="dxa" w:w="3326"/>
            <w:shd w:val="clear" w:color="auto" w:fill="6d28d9"/>
          </w:tcPr>
          <w:p>
            <w:pPr>
              <w:bidi/>
              <w:spacing w:before="0" w:after="40"/>
              <w:jc w:val="both"/>
            </w:pPr>
            <w:r>
              <w:rPr>
                <w:b/>
                <w:bCs/>
                <w:color w:val="FFFFFF"/>
                <w:rtl/>
              </w:rPr>
              <w:t>התוכן</w:t>
            </w:r>
          </w:p>
        </w:tc>
      </w:tr>
      <w:tr>
        <w:tc>
          <w:tcPr>
            <w:tcW w:type="dxa" w:w="3326"/>
          </w:tcPr>
          <w:p>
            <w:pPr>
              <w:bidi/>
              <w:spacing w:before="0" w:after="40"/>
              <w:jc w:val="both"/>
            </w:pPr>
            <w:r>
              <w:rPr>
                <w:rtl/>
              </w:rPr>
              <w:t>טענה מרכזית</w:t>
            </w:r>
          </w:p>
        </w:tc>
        <w:tc>
          <w:tcPr>
            <w:tcW w:type="dxa" w:w="3326"/>
          </w:tcPr>
          <w:p>
            <w:pPr>
              <w:bidi/>
              <w:spacing w:before="0" w:after="40"/>
              <w:jc w:val="both"/>
            </w:pPr>
            <w:r>
              <w:rPr>
                <w:color w:val="0F7A4F"/>
                <w:rtl/>
              </w:rPr>
              <w:t>בשורות 1–5</w:t>
            </w:r>
          </w:p>
        </w:tc>
        <w:tc>
          <w:tcPr>
            <w:tcW w:type="dxa" w:w="3326"/>
          </w:tcPr>
          <w:p>
            <w:pPr>
              <w:bidi/>
              <w:spacing w:before="0" w:after="40"/>
              <w:jc w:val="both"/>
            </w:pPr>
            <w:r>
              <w:rPr>
                <w:color w:val="0F7A4F"/>
                <w:rtl/>
              </w:rPr>
              <w:t>הכישלון המלווה בהתבוננות ובתיקון הוא מנוע של למידה</w:t>
            </w:r>
          </w:p>
        </w:tc>
      </w:tr>
      <w:tr>
        <w:tc>
          <w:tcPr>
            <w:tcW w:type="dxa" w:w="3326"/>
          </w:tcPr>
          <w:p>
            <w:pPr>
              <w:bidi/>
              <w:spacing w:before="0" w:after="40"/>
              <w:jc w:val="both"/>
            </w:pPr>
            <w:r>
              <w:rPr>
                <w:rtl/>
              </w:rPr>
              <w:t>נימוק מן הניסיון היומיומי</w:t>
            </w:r>
          </w:p>
        </w:tc>
        <w:tc>
          <w:tcPr>
            <w:tcW w:type="dxa" w:w="3326"/>
          </w:tcPr>
          <w:p>
            <w:pPr>
              <w:bidi/>
              <w:spacing w:before="0" w:after="40"/>
              <w:jc w:val="both"/>
            </w:pPr>
            <w:r>
              <w:rPr>
                <w:color w:val="0F7A4F"/>
                <w:rtl/>
              </w:rPr>
              <w:t>בשורות 6–12</w:t>
            </w:r>
          </w:p>
        </w:tc>
        <w:tc>
          <w:tcPr>
            <w:tcW w:type="dxa" w:w="3326"/>
          </w:tcPr>
          <w:p>
            <w:pPr>
              <w:bidi/>
              <w:spacing w:before="0" w:after="40"/>
              <w:jc w:val="both"/>
            </w:pPr>
            <w:r>
              <w:rPr>
                <w:color w:val="0F7A4F"/>
                <w:rtl/>
              </w:rPr>
              <w:t>אין למידה בלי טעויות – ילד הלומד ללכת, מדענים ובעלי מלאכה</w:t>
            </w:r>
          </w:p>
        </w:tc>
      </w:tr>
      <w:tr>
        <w:tc>
          <w:tcPr>
            <w:tcW w:type="dxa" w:w="3326"/>
          </w:tcPr>
          <w:p>
            <w:pPr>
              <w:bidi/>
              <w:spacing w:before="0" w:after="40"/>
              <w:jc w:val="both"/>
            </w:pPr>
            <w:r>
              <w:rPr>
                <w:rtl/>
              </w:rPr>
              <w:t>נימוק מבוסס מחקר</w:t>
            </w:r>
          </w:p>
        </w:tc>
        <w:tc>
          <w:tcPr>
            <w:tcW w:type="dxa" w:w="3326"/>
          </w:tcPr>
          <w:p>
            <w:pPr>
              <w:bidi/>
              <w:spacing w:before="0" w:after="40"/>
              <w:jc w:val="both"/>
            </w:pPr>
            <w:r>
              <w:rPr>
                <w:color w:val="0F7A4F"/>
                <w:rtl/>
              </w:rPr>
              <w:t>בשורות 13–20</w:t>
            </w:r>
          </w:p>
        </w:tc>
        <w:tc>
          <w:tcPr>
            <w:tcW w:type="dxa" w:w="3326"/>
          </w:tcPr>
          <w:p>
            <w:pPr>
              <w:bidi/>
              <w:spacing w:before="0" w:after="40"/>
              <w:jc w:val="both"/>
            </w:pPr>
            <w:r>
              <w:rPr>
                <w:color w:val="0F7A4F"/>
                <w:rtl/>
              </w:rPr>
              <w:t>תלמידים שרואים ביכולת דבר מתפתח מתמידים ושבים לנסות אחרי כישלון</w:t>
            </w:r>
          </w:p>
        </w:tc>
      </w:tr>
      <w:tr>
        <w:tc>
          <w:tcPr>
            <w:tcW w:type="dxa" w:w="3326"/>
          </w:tcPr>
          <w:p>
            <w:pPr>
              <w:bidi/>
              <w:spacing w:before="0" w:after="40"/>
              <w:jc w:val="both"/>
            </w:pPr>
            <w:r>
              <w:rPr>
                <w:rtl/>
              </w:rPr>
              <w:t>הסתייגות ראשונה</w:t>
            </w:r>
          </w:p>
        </w:tc>
        <w:tc>
          <w:tcPr>
            <w:tcW w:type="dxa" w:w="3326"/>
          </w:tcPr>
          <w:p>
            <w:pPr>
              <w:bidi/>
              <w:spacing w:before="0" w:after="40"/>
              <w:jc w:val="both"/>
            </w:pPr>
            <w:r>
              <w:rPr>
                <w:color w:val="0F7A4F"/>
                <w:rtl/>
              </w:rPr>
              <w:t>בשורות 27–32</w:t>
            </w:r>
          </w:p>
        </w:tc>
        <w:tc>
          <w:tcPr>
            <w:tcW w:type="dxa" w:w="3326"/>
          </w:tcPr>
          <w:p>
            <w:pPr>
              <w:bidi/>
              <w:spacing w:before="0" w:after="40"/>
              <w:jc w:val="both"/>
            </w:pPr>
            <w:r>
              <w:rPr>
                <w:color w:val="0F7A4F"/>
                <w:rtl/>
              </w:rPr>
              <w:t>לא כל כישלון מועיל: כישלון בלי הסבר ובלי עזרה מייאש</w:t>
            </w:r>
          </w:p>
        </w:tc>
      </w:tr>
      <w:tr>
        <w:tc>
          <w:tcPr>
            <w:tcW w:type="dxa" w:w="3326"/>
          </w:tcPr>
          <w:p>
            <w:pPr>
              <w:bidi/>
              <w:spacing w:before="0" w:after="40"/>
              <w:jc w:val="both"/>
            </w:pPr>
            <w:r>
              <w:rPr>
                <w:rtl/>
              </w:rPr>
              <w:t>הסתייגות שנייה</w:t>
            </w:r>
          </w:p>
        </w:tc>
        <w:tc>
          <w:tcPr>
            <w:tcW w:type="dxa" w:w="3326"/>
          </w:tcPr>
          <w:p>
            <w:pPr>
              <w:bidi/>
              <w:spacing w:before="0" w:after="40"/>
              <w:jc w:val="both"/>
            </w:pPr>
            <w:r>
              <w:rPr>
                <w:color w:val="0F7A4F"/>
                <w:rtl/>
              </w:rPr>
              <w:t>בשורות 47–50</w:t>
            </w:r>
          </w:p>
        </w:tc>
        <w:tc>
          <w:tcPr>
            <w:tcW w:type="dxa" w:w="3326"/>
          </w:tcPr>
          <w:p>
            <w:pPr>
              <w:bidi/>
              <w:spacing w:before="0" w:after="40"/>
              <w:jc w:val="both"/>
            </w:pPr>
            <w:r>
              <w:rPr>
                <w:color w:val="0F7A4F"/>
                <w:rtl/>
              </w:rPr>
              <w:t>אין לקדש את הכישלון; בתחומים מסוימים מחיר הטעות כבד</w:t>
            </w:r>
          </w:p>
        </w:tc>
      </w:tr>
      <w:tr>
        <w:tc>
          <w:tcPr>
            <w:tcW w:type="dxa" w:w="3326"/>
          </w:tcPr>
          <w:p>
            <w:pPr>
              <w:bidi/>
              <w:spacing w:before="0" w:after="40"/>
              <w:jc w:val="both"/>
            </w:pPr>
            <w:r>
              <w:rPr>
                <w:rtl/>
              </w:rPr>
              <w:t>מסקנה</w:t>
            </w:r>
          </w:p>
        </w:tc>
        <w:tc>
          <w:tcPr>
            <w:tcW w:type="dxa" w:w="3326"/>
          </w:tcPr>
          <w:p>
            <w:pPr>
              <w:bidi/>
              <w:spacing w:before="0" w:after="40"/>
              <w:jc w:val="both"/>
            </w:pPr>
            <w:r>
              <w:rPr>
                <w:color w:val="0F7A4F"/>
                <w:rtl/>
              </w:rPr>
              <w:t>בשורות 51–53</w:t>
            </w:r>
          </w:p>
        </w:tc>
        <w:tc>
          <w:tcPr>
            <w:tcW w:type="dxa" w:w="3326"/>
          </w:tcPr>
          <w:p>
            <w:pPr>
              <w:bidi/>
              <w:spacing w:before="0" w:after="40"/>
              <w:jc w:val="both"/>
            </w:pPr>
            <w:r>
              <w:rPr>
                <w:color w:val="0F7A4F"/>
                <w:rtl/>
              </w:rPr>
              <w:t>השאלה היא מה עושים אחרי הכישלון; חברה שמלמדת לטעות ולתקן מגדלת לומדים</w:t>
            </w:r>
          </w:p>
        </w:tc>
      </w:tr>
    </w:tbl>
    <w:p>
      <w:pPr>
        <w:bidi/>
        <w:spacing w:before="0" w:after="40"/>
        <w:jc w:val="both"/>
      </w:pPr>
    </w:p>
    <w:p>
      <w:pPr>
        <w:bidi/>
        <w:spacing w:before="160" w:after="60"/>
        <w:jc w:val="both"/>
      </w:pPr>
      <w:r>
        <w:rPr>
          <w:b/>
          <w:bCs/>
          <w:sz w:val="26"/>
          <w:szCs w:val="26"/>
          <w:rtl/>
        </w:rPr>
        <w:t>3. קשרים לוגיים בין חלקי הטקסט: כתבו מהו הקשר הלוגי בכל סעיף, והביאו ראיה לשונית מן הטקסט (מילת קישור או צירוף). (5 נק')</w:t>
      </w:r>
    </w:p>
    <w:p>
      <w:pPr>
        <w:bidi/>
        <w:spacing w:before="0" w:after="100"/>
        <w:jc w:val="both"/>
      </w:pPr>
      <w:r>
        <w:rPr>
          <w:rtl/>
        </w:rPr>
        <w:t>א. הקשר בין הפסקה המופיעה בשורות 21–26 לבין הפסקה המופיעה בשורות 13–20  ← הוספה וחיזוק בדוגמה מפתיעה: «דווקא» התלמידים המצטיינים נפגעים – מרחיב את המחקר על הגישה ליכולת (1.5)</w:t>
      </w:r>
    </w:p>
    <w:p>
      <w:pPr>
        <w:bidi/>
        <w:spacing w:before="0" w:after="100"/>
        <w:jc w:val="both"/>
      </w:pPr>
      <w:r>
        <w:rPr>
          <w:rtl/>
        </w:rPr>
        <w:t>ב. הקשר בין הפסקה המופיעה בשורות 27–32 לבין הפסקאות המופיעות בשורות 1–26  ← הסתייגות / ויתור: «אין בכך כדי לומר שכל כישלון מועיל» – הכותב מגביל את טענתו (1.5)</w:t>
      </w:r>
    </w:p>
    <w:p>
      <w:pPr>
        <w:bidi/>
        <w:spacing w:before="0" w:after="100"/>
        <w:jc w:val="both"/>
      </w:pPr>
      <w:r>
        <w:rPr>
          <w:rtl/>
        </w:rPr>
        <w:t>ג. הקשר בין הפסקה המופיעה בשורות 33–41 לבין הפסקה המופיעה בשורות 27–32  ← מסקנה: «מכאן ש» – אם הכישלון מלמד רק כשהוא נבחן, האחריות מוטלת גם על מערכת החינוך (2)</w:t>
      </w:r>
    </w:p>
    <w:p>
      <w:pPr>
        <w:bidi/>
        <w:spacing w:before="160" w:after="60"/>
        <w:jc w:val="both"/>
      </w:pPr>
      <w:r>
        <w:rPr>
          <w:b/>
          <w:bCs/>
          <w:sz w:val="26"/>
          <w:szCs w:val="26"/>
          <w:rtl/>
        </w:rPr>
        <w:t>4. «בלי שאלות אלה, הטעות נשארת פצע ולא שיעור» (בשורות 27–32). הסבירו את הדימוי ואת הניגוד שבמשפט, וכתבו מה תורם המשפט לטיעון של הכותב. (4 נק')</w:t>
      </w:r>
    </w:p>
    <w:p>
      <w:pPr>
        <w:bidi/>
        <w:spacing w:before="0" w:after="80"/>
        <w:jc w:val="both"/>
      </w:pPr>
      <w:r>
        <w:rPr>
          <w:color w:val="0F7A4F"/>
          <w:rtl/>
        </w:rPr>
        <w:t>תשובה אפשרית: דימוי: הטעות מדומה לפצע – משהו שכואב ופוגע ואינו מוביל לדבר (1). ניגוד: «פצע» לעומת «שיעור» – אותה טעות יכולה להזיק או ללמד (1). תרומה: המשפט מנסח בקצרה את התנאי לטענה – הכישלון מלמד רק כשמתבוננים בו – ומכין את המעבר לאחריות המורים והמערכת (2).</w:t>
      </w:r>
    </w:p>
    <w:p>
      <w:pPr>
        <w:bidi/>
        <w:spacing w:before="160" w:after="60"/>
        <w:jc w:val="both"/>
      </w:pPr>
      <w:r>
        <w:rPr>
          <w:b/>
          <w:bCs/>
          <w:sz w:val="26"/>
          <w:szCs w:val="26"/>
          <w:rtl/>
        </w:rPr>
        <w:t>5. משמעות בהקשר: בחרו את המשמעות המתאימה לכל ביטוי. (3 נק')</w:t>
      </w:r>
    </w:p>
    <w:p>
      <w:pPr>
        <w:bidi/>
        <w:spacing w:before="0" w:after="20"/>
        <w:jc w:val="both"/>
      </w:pPr>
      <w:r>
        <w:rPr>
          <w:rtl/>
        </w:rPr>
        <w:t>א. «מובן שאין לקדש את הכישלון» (בשורות 47–50)</w:t>
      </w:r>
    </w:p>
    <w:p>
      <w:pPr>
        <w:bidi/>
        <w:spacing w:before="0" w:after="80"/>
        <w:jc w:val="both"/>
      </w:pPr>
      <w:r>
        <w:rPr>
          <w:b/>
          <w:bCs/>
          <w:color w:val="0F7A4F"/>
          <w:rtl/>
        </w:rPr>
        <w:t xml:space="preserve">   ✔ אין להעריך את הכישלון יתר על המידה ולהציגו כערך עליון</w:t>
      </w:r>
    </w:p>
    <w:p>
      <w:pPr>
        <w:bidi/>
        <w:spacing w:before="0" w:after="20"/>
        <w:jc w:val="both"/>
      </w:pPr>
      <w:r>
        <w:rPr>
          <w:rtl/>
        </w:rPr>
        <w:t>ב. «נדמה שהמטוטלת נעה עכשיו לקצה השני» (בשורות 1–3)</w:t>
      </w:r>
    </w:p>
    <w:p>
      <w:pPr>
        <w:bidi/>
        <w:spacing w:before="0" w:after="80"/>
        <w:jc w:val="both"/>
      </w:pPr>
      <w:r>
        <w:rPr>
          <w:b/>
          <w:bCs/>
          <w:color w:val="0F7A4F"/>
          <w:rtl/>
        </w:rPr>
        <w:t xml:space="preserve">   ✔ יחס קיצוני אחד הוחלף ביחס קיצוני הפוך</w:t>
      </w:r>
    </w:p>
    <w:p>
      <w:pPr>
        <w:bidi/>
        <w:spacing w:before="0" w:after="20"/>
        <w:jc w:val="both"/>
      </w:pPr>
      <w:r>
        <w:rPr>
          <w:rtl/>
        </w:rPr>
        <w:t>ג. «אדרבה, יש ללמד את התלמידים להתבונן בטעויותיהם» (בשורות 18–21)</w:t>
      </w:r>
    </w:p>
    <w:p>
      <w:pPr>
        <w:bidi/>
        <w:spacing w:before="0" w:after="80"/>
        <w:jc w:val="both"/>
      </w:pPr>
      <w:r>
        <w:rPr>
          <w:b/>
          <w:bCs/>
          <w:color w:val="0F7A4F"/>
          <w:rtl/>
        </w:rPr>
        <w:t xml:space="preserve">   ✔ להפך</w:t>
      </w:r>
    </w:p>
    <w:p>
      <w:pPr>
        <w:bidi/>
        <w:spacing w:before="160" w:after="60"/>
        <w:jc w:val="both"/>
      </w:pPr>
      <w:r>
        <w:rPr>
          <w:b/>
          <w:bCs/>
          <w:sz w:val="26"/>
          <w:szCs w:val="26"/>
          <w:rtl/>
        </w:rPr>
        <w:t>6. כותב מאמר 2 אינו שולל את עמדת כותב מאמר 1 אלא מסייג אותה. (א) ציינו טענה של מאמר 1 שכותב מאמר 2 מסכים איתה. (ב) הציגו שתי ביקורות של כותב מאמר 2 על הדיבור הנפוץ על כישלון. (ג) האם כותב מאמר 1 מתייחס בעצמו לאחת הביקורות? הוכיחו (ראו שורות 27–32). (5 נק')</w:t>
      </w:r>
    </w:p>
    <w:p>
      <w:pPr>
        <w:bidi/>
        <w:spacing w:before="0" w:after="80"/>
        <w:jc w:val="both"/>
      </w:pPr>
      <w:r>
        <w:rPr>
          <w:color w:val="0F7A4F"/>
          <w:rtl/>
        </w:rPr>
        <w:t>תשובה אפשרית: (א) יש ללמד את התלמידים להתבונן בטעויותיהם בלי בושה, ולא להסתירן (1). (ב) שתיים מתוך: הסיפורים מסופרים רק מפי המצליחים (מדגם מוטה) ומתעלמים מתנאים חסרים; הסיסמה מטילה את כל האחריות על הפרט ופוטרת את המבוגרים והמוסדות; תלמידים שונים מגיבים לכישלון באופן שונה ואין להחיל סיסמה אחת על כולם (2). (ג) כן – בפסקה 5 כותב מאמר 1 מסייג: כישלון חוזר בלי עזרה מייאש, ותלמיד שנכשל בשל נסיבות (בלי פינה שקטה, בלי הבנת ההוראות) זקוק לעזרה ממשית ולא לנאום; גם בפסקה 6 הוא מטיל אחריות על המערכת (2).</w:t>
      </w:r>
    </w:p>
    <w:p>
      <w:pPr>
        <w:bidi/>
        <w:spacing w:before="160" w:after="60"/>
        <w:jc w:val="both"/>
      </w:pPr>
      <w:r>
        <w:rPr>
          <w:b/>
          <w:bCs/>
          <w:sz w:val="26"/>
          <w:szCs w:val="26"/>
          <w:rtl/>
        </w:rPr>
        <w:t>7. סיכום (120–150 מילים): סכמו את מאמר 1 לתלמידים שלא קראו אותו. הציגו את הטענה, את הנימוקים העיקריים, את ההסתייגויות ואת ההמלצות. כתבו במילים שלכם, בלי דוגמאות ופרטים משניים. (8 נק')</w:t>
      </w:r>
    </w:p>
    <w:p>
      <w:pPr>
        <w:bidi/>
        <w:spacing w:before="0" w:after="80"/>
        <w:jc w:val="both"/>
      </w:pPr>
      <w:r>
        <w:rPr>
          <w:color w:val="0F7A4F"/>
          <w:rtl/>
        </w:rPr>
        <w:t>תשובה אפשרית: מחוון (8 נק'): תוכן 4 – טענה (1), שני נימוקים לפחות: טעויות הן חלק מכל למידה; מחקר על היכולת כדבר מתפתח; פגיעה במצטיינים (1), הסתייגויות: כישלון בלי התבוננות ועזרה מייאש; אין לקדש כישלון (1), המלצות למורים ולהורים (1). ניסוח והכללה בלי העתקה ובלי דוגמאות (2). מבנה רציף במילות קישור, אורך 120–150 (1). לשון תקינה (1).</w:t>
      </w:r>
    </w:p>
    <w:p>
      <w:pPr>
        <w:bidi/>
        <w:spacing w:before="160" w:after="60"/>
        <w:jc w:val="both"/>
      </w:pPr>
      <w:r>
        <w:rPr>
          <w:b/>
          <w:bCs/>
          <w:sz w:val="26"/>
          <w:szCs w:val="26"/>
          <w:rtl/>
        </w:rPr>
        <w:t>8. כתיבה טיעונית (250–300 מילים): «האם כדאי שבתי ספר יאפשרו לתלמידים לתקן כל מבחן ולהגיש אותו מחדש?» כתבו מאמר טיעון למועצת התלמידים. הציגו עמדה ברורה, שני נימוקים לפחות (אחד מהם לפחות על סמך המאמרים), טענת נגד והפרכתה, וסיום. הקפידו על פסקאות, מילות קישור מגוונות ומשלב רשמי. (16 נק')</w:t>
      </w:r>
    </w:p>
    <w:p>
      <w:pPr>
        <w:bidi/>
        <w:spacing w:before="0" w:after="80"/>
        <w:jc w:val="both"/>
      </w:pPr>
      <w:r>
        <w:rPr>
          <w:color w:val="0F7A4F"/>
          <w:rtl/>
        </w:rPr>
        <w:t>תשובה אפשרית: מחוון (16 נק'): תוכן 7 – עמדה ברורה (1), שני נימוקים מפותחים ומבוססים, אחד לפחות על מאמר 1 או 2 (3), טענת נגד הוגנת והפרכה (2), התאמה לנמען – מועצת התלמידים (1). מבנה 5 – פתיחה שמציגה את הסוגיה והעמדה (1), פסקה לכל נימוק (2), סיום/מסקנה (1), רצף לוגי במילות קישור (1). לשון 4 – משלב רשמי ואוצר מילים מגוון (2), כתיב, התאם ופיסוק (2). חריגה ניכרת מן האורך – הורדת עד 2 נק'.</w:t>
      </w:r>
    </w:p>
    <w:p>
      <w:pPr>
        <w:bidi/>
        <w:spacing w:before="160" w:after="80"/>
        <w:jc w:val="both"/>
      </w:pPr>
      <w:r>
        <w:rPr>
          <w:rFonts w:ascii="Gisha" w:hAnsi="Gisha" w:cs="Gisha"/>
          <w:b/>
          <w:bCs/>
          <w:color w:val="6D28D9"/>
          <w:sz w:val="32"/>
          <w:szCs w:val="32"/>
          <w:rtl/>
        </w:rPr>
        <w:t>חלק ב: שם המספר ואותיות השימוש (10 נק')</w:t>
      </w:r>
    </w:p>
    <w:p>
      <w:pPr>
        <w:bidi/>
        <w:spacing w:before="160" w:after="60"/>
        <w:jc w:val="both"/>
      </w:pPr>
      <w:r>
        <w:rPr>
          <w:b/>
          <w:bCs/>
          <w:sz w:val="26"/>
          <w:szCs w:val="26"/>
          <w:rtl/>
        </w:rPr>
        <w:t>1. שם המספר: כתבו במילים את המספר שבסוגריים, בצורה התקינה. (6 נק')</w:t>
      </w:r>
    </w:p>
    <w:p>
      <w:pPr>
        <w:bidi/>
        <w:spacing w:before="0" w:after="40"/>
        <w:jc w:val="both"/>
      </w:pPr>
      <w:r>
        <w:rPr>
          <w:rtl/>
        </w:rPr>
        <w:t>א. התלמידים התבקשו לכתוב ביומן חמש־עשרה (15) דקות בכל שבוע.</w:t>
      </w:r>
    </w:p>
    <w:p>
      <w:pPr>
        <w:bidi/>
        <w:spacing w:before="0" w:after="40"/>
        <w:jc w:val="both"/>
      </w:pPr>
      <w:r>
        <w:rPr>
          <w:rtl/>
        </w:rPr>
        <w:t>ב. במבחן היו אחת־עשרה (11) שאלות פתוחות.</w:t>
      </w:r>
    </w:p>
    <w:p>
      <w:pPr>
        <w:bidi/>
        <w:spacing w:before="0" w:after="40"/>
        <w:jc w:val="both"/>
      </w:pPr>
      <w:r>
        <w:rPr>
          <w:rtl/>
        </w:rPr>
        <w:t>ג. במחקר השתתפו שלוש מאות (300) תלמידים.</w:t>
      </w:r>
    </w:p>
    <w:p>
      <w:pPr>
        <w:bidi/>
        <w:spacing w:before="0" w:after="40"/>
        <w:jc w:val="both"/>
      </w:pPr>
      <w:r>
        <w:rPr>
          <w:rtl/>
        </w:rPr>
        <w:t>ד. המורה ביקש לקרוא את עשרת (10) הפרקים הראשונים.</w:t>
      </w:r>
    </w:p>
    <w:p>
      <w:pPr>
        <w:bidi/>
        <w:spacing w:before="0" w:after="40"/>
        <w:jc w:val="both"/>
      </w:pPr>
      <w:r>
        <w:rPr>
          <w:rtl/>
        </w:rPr>
        <w:t>ה. הפרויקט נמשך שמונה־עשר (18) ימים.</w:t>
      </w:r>
    </w:p>
    <w:p>
      <w:pPr>
        <w:bidi/>
        <w:spacing w:before="0" w:after="40"/>
        <w:jc w:val="both"/>
      </w:pPr>
      <w:r>
        <w:rPr>
          <w:rtl/>
        </w:rPr>
        <w:t>ו. שתי (2) השאלות הראשונות עסקו במבנה הטיעון.</w:t>
      </w:r>
    </w:p>
    <w:p>
      <w:pPr>
        <w:bidi/>
        <w:spacing w:before="160" w:after="60"/>
        <w:jc w:val="both"/>
      </w:pPr>
      <w:r>
        <w:rPr>
          <w:b/>
          <w:bCs/>
          <w:sz w:val="26"/>
          <w:szCs w:val="26"/>
          <w:rtl/>
        </w:rPr>
        <w:t>2. אותיות השימוש: צרפו את האות למילה, נקדו את אות השימוש ונמקו לפי הכלל. (4 נק')</w:t>
      </w:r>
    </w:p>
    <w:p>
      <w:pPr>
        <w:bidi/>
        <w:spacing w:before="0" w:after="100"/>
        <w:jc w:val="both"/>
      </w:pPr>
      <w:r>
        <w:rPr>
          <w:rtl/>
        </w:rPr>
        <w:t>א. ב + הַסֵּפֶר  ← בַּסֵּפֶר – ה' הידיעה נבלעת ואות השימוש מקבלת את תנועתה (פתח) ואת הדגש שאחריה</w:t>
      </w:r>
    </w:p>
    <w:p>
      <w:pPr>
        <w:bidi/>
        <w:spacing w:before="0" w:after="100"/>
        <w:jc w:val="both"/>
      </w:pPr>
      <w:r>
        <w:rPr>
          <w:rtl/>
        </w:rPr>
        <w:t>ב. ל + חֲלוֹמוֹת  ← לַחֲלוֹמוֹת – לפני חטף פתח אות השימוש מנוקדת בפתח</w:t>
      </w:r>
    </w:p>
    <w:p>
      <w:pPr>
        <w:bidi/>
        <w:spacing w:before="0" w:after="100"/>
        <w:jc w:val="both"/>
      </w:pPr>
      <w:r>
        <w:rPr>
          <w:rtl/>
        </w:rPr>
        <w:t>ג. ו + פְּרָטִים  ← וּפְרָטִים – לפני שווא (וגם לפני פ' מאותיות בומ"ף) ו' החיבור בשורוק</w:t>
      </w:r>
    </w:p>
    <w:p>
      <w:pPr>
        <w:bidi/>
        <w:spacing w:before="0" w:after="100"/>
        <w:jc w:val="both"/>
      </w:pPr>
      <w:r>
        <w:rPr>
          <w:rtl/>
        </w:rPr>
        <w:t>ד. כ + יְלָדִים  ← כִּילָדִים – לפני יְ בשווא: כ' בחיריק והי' נחה</w:t>
      </w:r>
    </w:p>
    <w:p>
      <w:pPr>
        <w:bidi/>
        <w:spacing w:before="160" w:after="80"/>
        <w:jc w:val="both"/>
      </w:pPr>
      <w:r>
        <w:rPr>
          <w:rFonts w:ascii="Gisha" w:hAnsi="Gisha" w:cs="Gisha"/>
          <w:b/>
          <w:bCs/>
          <w:color w:val="6D28D9"/>
          <w:sz w:val="32"/>
          <w:szCs w:val="32"/>
          <w:rtl/>
        </w:rPr>
        <w:t>חלק ג: תחביר (20 נק')</w:t>
      </w:r>
    </w:p>
    <w:p>
      <w:pPr>
        <w:bidi/>
        <w:spacing w:before="160" w:after="60"/>
        <w:jc w:val="both"/>
      </w:pPr>
      <w:r>
        <w:rPr>
          <w:b/>
          <w:bCs/>
          <w:sz w:val="26"/>
          <w:szCs w:val="26"/>
          <w:rtl/>
        </w:rPr>
        <w:t>1. ציינו את התפקיד התחבירי של המילה או הצירוף שבמירכאות «» (נושא, נשוא, מושא, לוואי, תמורה, תיאור – כולל סוג התיאור; אם זו פסוקית – כתבו את סוגה). (10 נק')</w:t>
      </w:r>
    </w:p>
    <w:p>
      <w:pPr>
        <w:bidi/>
        <w:spacing w:before="0" w:after="100"/>
        <w:jc w:val="both"/>
      </w:pPr>
      <w:r>
        <w:rPr>
          <w:rtl/>
        </w:rPr>
        <w:t>א. לא פעם «דווקא תלמיד בינוני» מגלה עמידות רבה.  ← נושא</w:t>
      </w:r>
    </w:p>
    <w:p>
      <w:pPr>
        <w:bidi/>
        <w:spacing w:before="0" w:after="100"/>
        <w:jc w:val="both"/>
      </w:pPr>
      <w:r>
        <w:rPr>
          <w:rtl/>
        </w:rPr>
        <w:t>ב. מורים מדווחים «שהתלמידים מתביישים פחות לשאול».  ← פסוקית מושא</w:t>
      </w:r>
    </w:p>
    <w:p>
      <w:pPr>
        <w:bidi/>
        <w:spacing w:before="0" w:after="100"/>
        <w:jc w:val="both"/>
      </w:pPr>
      <w:r>
        <w:rPr>
          <w:rtl/>
        </w:rPr>
        <w:t>ג. תלמידים «שאימצו את הגישה השנייה» התמידו זמן רב יותר.  ← פסוקית לוואי</w:t>
      </w:r>
    </w:p>
    <w:p>
      <w:pPr>
        <w:bidi/>
        <w:spacing w:before="0" w:after="100"/>
        <w:jc w:val="both"/>
      </w:pPr>
      <w:r>
        <w:rPr>
          <w:rtl/>
        </w:rPr>
        <w:t>ד. «מי שאינו טועה לעולם» אינו מנסה דבר קשה.  ← פסוקית נושא</w:t>
      </w:r>
    </w:p>
    <w:p>
      <w:pPr>
        <w:bidi/>
        <w:spacing w:before="0" w:after="100"/>
        <w:jc w:val="both"/>
      </w:pPr>
      <w:r>
        <w:rPr>
          <w:rtl/>
        </w:rPr>
        <w:t>ה. הטעות היא «המשוב» שמראה לנו היכן ההבנה חסרה.  ← נשוא (שמני; «היא» – אוגד)</w:t>
      </w:r>
    </w:p>
    <w:p>
      <w:pPr>
        <w:bidi/>
        <w:spacing w:before="0" w:after="100"/>
        <w:jc w:val="both"/>
      </w:pPr>
      <w:r>
        <w:rPr>
          <w:rtl/>
        </w:rPr>
        <w:t>ו. «אף על פי שהמשימה קשה», התלמיד ממשיך לנסות.  ← פסוקית תיאור ויתור</w:t>
      </w:r>
    </w:p>
    <w:p>
      <w:pPr>
        <w:bidi/>
        <w:spacing w:before="0" w:after="100"/>
        <w:jc w:val="both"/>
      </w:pPr>
      <w:r>
        <w:rPr>
          <w:rtl/>
        </w:rPr>
        <w:t>ז. «אם יינתן זמן לתיקון», התלמידים יעזו לנסות.  ← פסוקית תיאור תנאי</w:t>
      </w:r>
    </w:p>
    <w:p>
      <w:pPr>
        <w:bidi/>
        <w:spacing w:before="0" w:after="100"/>
        <w:jc w:val="both"/>
      </w:pPr>
      <w:r>
        <w:rPr>
          <w:rtl/>
        </w:rPr>
        <w:t>ח. יש לנו הזדמנות נדירה «ללמוד לטעות בבטחה».  ← לוואי (שם פועל המצמצם את «הזדמנות»)</w:t>
      </w:r>
    </w:p>
    <w:p>
      <w:pPr>
        <w:bidi/>
        <w:spacing w:before="0" w:after="100"/>
        <w:jc w:val="both"/>
      </w:pPr>
      <w:r>
        <w:rPr>
          <w:rtl/>
        </w:rPr>
        <w:t>ט. בסוף היחידה התלמידים כותבים «יומן טעויות».  ← מושא ישיר</w:t>
      </w:r>
    </w:p>
    <w:p>
      <w:pPr>
        <w:bidi/>
        <w:spacing w:before="0" w:after="100"/>
        <w:jc w:val="both"/>
      </w:pPr>
      <w:r>
        <w:rPr>
          <w:rtl/>
        </w:rPr>
        <w:t>י. הכישלון, «שלב בתהליך הלמידה», אינו סוף הדרך.  ← תמורה</w:t>
      </w:r>
    </w:p>
    <w:p>
      <w:pPr>
        <w:bidi/>
        <w:spacing w:before="160" w:after="60"/>
        <w:jc w:val="both"/>
      </w:pPr>
      <w:r>
        <w:rPr>
          <w:b/>
          <w:bCs/>
          <w:sz w:val="26"/>
          <w:szCs w:val="26"/>
          <w:rtl/>
        </w:rPr>
        <w:t>2. קבעו את סוג המשפט (פשוט, מורכב, מאוחה או מאוחה־מורכב) ונמקו: ציינו את הפסוקיות ואת תפקידן, ובמשפט מאוחה – את הקשר הלוגי בין האיברים. (6 נק')</w:t>
      </w:r>
    </w:p>
    <w:p>
      <w:pPr>
        <w:bidi/>
        <w:spacing w:before="0" w:after="100"/>
        <w:jc w:val="both"/>
      </w:pPr>
      <w:r>
        <w:rPr>
          <w:rtl/>
        </w:rPr>
        <w:t>א. הורה שמגיב בכעס מלמד את ילדו להסתיר, ואילו הורה ששואל מה למד מלמד אותו להתבונן.  ← מאוחה־מורכב: שני איברים בקשר של ניגוד («ואילו»); בכל איבר פסוקית לוואי – «שמגיב בכעס», «ששואל מה למד» (ובתוך השנייה פסוקית מושא «מה למד»)</w:t>
      </w:r>
    </w:p>
    <w:p>
      <w:pPr>
        <w:bidi/>
        <w:spacing w:before="0" w:after="100"/>
        <w:jc w:val="both"/>
      </w:pPr>
      <w:r>
        <w:rPr>
          <w:rtl/>
        </w:rPr>
        <w:t>ב. אין לקדש את הכישלון, שכן יש תחומים שבהם הטעות כרוכה במחיר כבד.  ← מאוחה־מורכב: שני איברים בקשר של סיבה («שכן»); באיבר השני פסוקית לוואי «שבהם הטעות כרוכה במחיר כבד»</w:t>
      </w:r>
    </w:p>
    <w:p>
      <w:pPr>
        <w:bidi/>
        <w:spacing w:before="0" w:after="100"/>
        <w:jc w:val="both"/>
      </w:pPr>
      <w:r>
        <w:rPr>
          <w:rtl/>
        </w:rPr>
        <w:t>ג. תלמידים שהאמינו כי היכולת קבועה נטו להימנע מאתגרים.  ← מורכב: פסוקית לוואי «שהאמינו כי היכולת קבועה» (ל«תלמידים»), ובתוכה פסוקית מושא «כי היכולת קבועה»</w:t>
      </w:r>
    </w:p>
    <w:p>
      <w:pPr>
        <w:bidi/>
        <w:spacing w:before="160" w:after="60"/>
        <w:jc w:val="both"/>
      </w:pPr>
      <w:r>
        <w:rPr>
          <w:b/>
          <w:bCs/>
          <w:sz w:val="26"/>
          <w:szCs w:val="26"/>
          <w:rtl/>
        </w:rPr>
        <w:t>3. המרה: (א) המירו את המשפט המורכב «כשהוא נתקל בחומר קשה, הוא עלול לפרש זאת כאסון» במשפט פשוט בלי לשנות את המשמעות, וכתבו מה תפקיד הצירוף שהחליף את הפסוקית. (ב) המירו את המשפט הפשוט «בשל הפחד מטעות הם בוחרים מגמות בטוחות» במשפט מורכב, וכתבו את סוג הפסוקית. (4 נק')</w:t>
      </w:r>
    </w:p>
    <w:p>
      <w:pPr>
        <w:bidi/>
        <w:spacing w:before="0" w:after="80"/>
        <w:jc w:val="both"/>
      </w:pPr>
      <w:r>
        <w:rPr>
          <w:color w:val="0F7A4F"/>
          <w:rtl/>
        </w:rPr>
        <w:t>תשובה אפשרית: (א) «בעת היתקלות בחומר קשה הוא עלול לפרש זאת כאסון» (או «בהיתקלו בחומר קשה...») – תיאור זמן (2). (ב) «משום שהם מפחדים לטעות, הם בוחרים מגמות בטוחות» – פסוקית תיאור סיבה (2).</w:t>
      </w:r>
    </w:p>
    <w:p>
      <w:pPr>
        <w:bidi/>
        <w:spacing w:before="160" w:after="80"/>
        <w:jc w:val="both"/>
      </w:pPr>
      <w:r>
        <w:rPr>
          <w:rFonts w:ascii="Gisha" w:hAnsi="Gisha" w:cs="Gisha"/>
          <w:b/>
          <w:bCs/>
          <w:color w:val="6D28D9"/>
          <w:sz w:val="32"/>
          <w:szCs w:val="32"/>
          <w:rtl/>
        </w:rPr>
        <w:t>חלק ד: מערכת הצורות (20 נק')</w:t>
      </w:r>
    </w:p>
    <w:p>
      <w:pPr>
        <w:bidi/>
        <w:spacing w:before="160" w:after="60"/>
        <w:jc w:val="both"/>
      </w:pPr>
      <w:r>
        <w:rPr>
          <w:b/>
          <w:bCs/>
          <w:sz w:val="26"/>
          <w:szCs w:val="26"/>
          <w:rtl/>
        </w:rPr>
        <w:t>1. כתבו את השורש, הבניין והגזרה של כל פועל מן המאמרים (אם הפועל בשלמים – כתבו «שלמים»). (10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6d28d9"/>
          </w:tcPr>
          <w:p>
            <w:pPr>
              <w:bidi/>
              <w:spacing w:before="0" w:after="40"/>
              <w:jc w:val="both"/>
            </w:pPr>
            <w:r>
              <w:rPr>
                <w:b/>
                <w:bCs/>
                <w:color w:val="FFFFFF"/>
                <w:rtl/>
              </w:rPr>
              <w:t>הפועל</w:t>
            </w:r>
          </w:p>
        </w:tc>
        <w:tc>
          <w:tcPr>
            <w:tcW w:type="dxa" w:w="2494"/>
            <w:shd w:val="clear" w:color="auto" w:fill="6d28d9"/>
          </w:tcPr>
          <w:p>
            <w:pPr>
              <w:bidi/>
              <w:spacing w:before="0" w:after="40"/>
              <w:jc w:val="both"/>
            </w:pPr>
            <w:r>
              <w:rPr>
                <w:b/>
                <w:bCs/>
                <w:color w:val="FFFFFF"/>
                <w:rtl/>
              </w:rPr>
              <w:t>שורש</w:t>
            </w:r>
          </w:p>
        </w:tc>
        <w:tc>
          <w:tcPr>
            <w:tcW w:type="dxa" w:w="2494"/>
            <w:shd w:val="clear" w:color="auto" w:fill="6d28d9"/>
          </w:tcPr>
          <w:p>
            <w:pPr>
              <w:bidi/>
              <w:spacing w:before="0" w:after="40"/>
              <w:jc w:val="both"/>
            </w:pPr>
            <w:r>
              <w:rPr>
                <w:b/>
                <w:bCs/>
                <w:color w:val="FFFFFF"/>
                <w:rtl/>
              </w:rPr>
              <w:t>בניין</w:t>
            </w:r>
          </w:p>
        </w:tc>
        <w:tc>
          <w:tcPr>
            <w:tcW w:type="dxa" w:w="2494"/>
            <w:shd w:val="clear" w:color="auto" w:fill="6d28d9"/>
          </w:tcPr>
          <w:p>
            <w:pPr>
              <w:bidi/>
              <w:spacing w:before="0" w:after="40"/>
              <w:jc w:val="both"/>
            </w:pPr>
            <w:r>
              <w:rPr>
                <w:b/>
                <w:bCs/>
                <w:color w:val="FFFFFF"/>
                <w:rtl/>
              </w:rPr>
              <w:t>גזרה</w:t>
            </w:r>
          </w:p>
        </w:tc>
      </w:tr>
      <w:tr>
        <w:tc>
          <w:tcPr>
            <w:tcW w:type="dxa" w:w="2494"/>
          </w:tcPr>
          <w:p>
            <w:pPr>
              <w:bidi/>
              <w:spacing w:before="0" w:after="40"/>
              <w:jc w:val="both"/>
            </w:pPr>
            <w:r>
              <w:rPr>
                <w:rtl/>
              </w:rPr>
              <w:t>מתגבשת</w:t>
            </w:r>
          </w:p>
        </w:tc>
        <w:tc>
          <w:tcPr>
            <w:tcW w:type="dxa" w:w="2494"/>
          </w:tcPr>
          <w:p>
            <w:pPr>
              <w:bidi/>
              <w:spacing w:before="0" w:after="40"/>
              <w:jc w:val="both"/>
            </w:pPr>
            <w:r>
              <w:rPr>
                <w:color w:val="0F7A4F"/>
                <w:rtl/>
              </w:rPr>
              <w:t>ג-ב-ש</w:t>
            </w:r>
          </w:p>
        </w:tc>
        <w:tc>
          <w:tcPr>
            <w:tcW w:type="dxa" w:w="2494"/>
          </w:tcPr>
          <w:p>
            <w:pPr>
              <w:bidi/>
              <w:spacing w:before="0" w:after="40"/>
              <w:jc w:val="both"/>
            </w:pPr>
            <w:r>
              <w:rPr>
                <w:color w:val="0F7A4F"/>
                <w:rtl/>
              </w:rPr>
              <w:t>התפעל</w:t>
            </w:r>
          </w:p>
        </w:tc>
        <w:tc>
          <w:tcPr>
            <w:tcW w:type="dxa" w:w="2494"/>
          </w:tcPr>
          <w:p>
            <w:pPr>
              <w:bidi/>
              <w:spacing w:before="0" w:after="40"/>
              <w:jc w:val="both"/>
            </w:pPr>
            <w:r>
              <w:rPr>
                <w:color w:val="0F7A4F"/>
                <w:rtl/>
              </w:rPr>
              <w:t>שלמים</w:t>
            </w:r>
          </w:p>
        </w:tc>
      </w:tr>
      <w:tr>
        <w:tc>
          <w:tcPr>
            <w:tcW w:type="dxa" w:w="2494"/>
          </w:tcPr>
          <w:p>
            <w:pPr>
              <w:bidi/>
              <w:spacing w:before="0" w:after="40"/>
              <w:jc w:val="both"/>
            </w:pPr>
            <w:r>
              <w:rPr>
                <w:rtl/>
              </w:rPr>
              <w:t>נדחקים</w:t>
            </w:r>
          </w:p>
        </w:tc>
        <w:tc>
          <w:tcPr>
            <w:tcW w:type="dxa" w:w="2494"/>
          </w:tcPr>
          <w:p>
            <w:pPr>
              <w:bidi/>
              <w:spacing w:before="0" w:after="40"/>
              <w:jc w:val="both"/>
            </w:pPr>
            <w:r>
              <w:rPr>
                <w:color w:val="0F7A4F"/>
                <w:rtl/>
              </w:rPr>
              <w:t>ד-ח-ק</w:t>
            </w:r>
          </w:p>
        </w:tc>
        <w:tc>
          <w:tcPr>
            <w:tcW w:type="dxa" w:w="2494"/>
          </w:tcPr>
          <w:p>
            <w:pPr>
              <w:bidi/>
              <w:spacing w:before="0" w:after="40"/>
              <w:jc w:val="both"/>
            </w:pPr>
            <w:r>
              <w:rPr>
                <w:color w:val="0F7A4F"/>
                <w:rtl/>
              </w:rPr>
              <w:t>נפעל</w:t>
            </w:r>
          </w:p>
        </w:tc>
        <w:tc>
          <w:tcPr>
            <w:tcW w:type="dxa" w:w="2494"/>
          </w:tcPr>
          <w:p>
            <w:pPr>
              <w:bidi/>
              <w:spacing w:before="0" w:after="40"/>
              <w:jc w:val="both"/>
            </w:pPr>
            <w:r>
              <w:rPr>
                <w:color w:val="0F7A4F"/>
                <w:rtl/>
              </w:rPr>
              <w:t>שלמים</w:t>
            </w:r>
          </w:p>
        </w:tc>
      </w:tr>
      <w:tr>
        <w:tc>
          <w:tcPr>
            <w:tcW w:type="dxa" w:w="2494"/>
          </w:tcPr>
          <w:p>
            <w:pPr>
              <w:bidi/>
              <w:spacing w:before="0" w:after="40"/>
              <w:jc w:val="both"/>
            </w:pPr>
            <w:r>
              <w:rPr>
                <w:rtl/>
              </w:rPr>
              <w:t>התמידו</w:t>
            </w:r>
          </w:p>
        </w:tc>
        <w:tc>
          <w:tcPr>
            <w:tcW w:type="dxa" w:w="2494"/>
          </w:tcPr>
          <w:p>
            <w:pPr>
              <w:bidi/>
              <w:spacing w:before="0" w:after="40"/>
              <w:jc w:val="both"/>
            </w:pPr>
            <w:r>
              <w:rPr>
                <w:color w:val="0F7A4F"/>
                <w:rtl/>
              </w:rPr>
              <w:t>ת-מ-ד</w:t>
            </w:r>
          </w:p>
        </w:tc>
        <w:tc>
          <w:tcPr>
            <w:tcW w:type="dxa" w:w="2494"/>
          </w:tcPr>
          <w:p>
            <w:pPr>
              <w:bidi/>
              <w:spacing w:before="0" w:after="40"/>
              <w:jc w:val="both"/>
            </w:pPr>
            <w:r>
              <w:rPr>
                <w:color w:val="0F7A4F"/>
                <w:rtl/>
              </w:rPr>
              <w:t>הפעיל</w:t>
            </w:r>
          </w:p>
        </w:tc>
        <w:tc>
          <w:tcPr>
            <w:tcW w:type="dxa" w:w="2494"/>
          </w:tcPr>
          <w:p>
            <w:pPr>
              <w:bidi/>
              <w:spacing w:before="0" w:after="40"/>
              <w:jc w:val="both"/>
            </w:pPr>
            <w:r>
              <w:rPr>
                <w:color w:val="0F7A4F"/>
                <w:rtl/>
              </w:rPr>
              <w:t>שלמים</w:t>
            </w:r>
          </w:p>
        </w:tc>
      </w:tr>
      <w:tr>
        <w:tc>
          <w:tcPr>
            <w:tcW w:type="dxa" w:w="2494"/>
          </w:tcPr>
          <w:p>
            <w:pPr>
              <w:bidi/>
              <w:spacing w:before="0" w:after="40"/>
              <w:jc w:val="both"/>
            </w:pPr>
            <w:r>
              <w:rPr>
                <w:rtl/>
              </w:rPr>
              <w:t>הוגדרה</w:t>
            </w:r>
          </w:p>
        </w:tc>
        <w:tc>
          <w:tcPr>
            <w:tcW w:type="dxa" w:w="2494"/>
          </w:tcPr>
          <w:p>
            <w:pPr>
              <w:bidi/>
              <w:spacing w:before="0" w:after="40"/>
              <w:jc w:val="both"/>
            </w:pPr>
            <w:r>
              <w:rPr>
                <w:color w:val="0F7A4F"/>
                <w:rtl/>
              </w:rPr>
              <w:t>ג-ד-ר</w:t>
            </w:r>
          </w:p>
        </w:tc>
        <w:tc>
          <w:tcPr>
            <w:tcW w:type="dxa" w:w="2494"/>
          </w:tcPr>
          <w:p>
            <w:pPr>
              <w:bidi/>
              <w:spacing w:before="0" w:after="40"/>
              <w:jc w:val="both"/>
            </w:pPr>
            <w:r>
              <w:rPr>
                <w:color w:val="0F7A4F"/>
                <w:rtl/>
              </w:rPr>
              <w:t>הופעל</w:t>
            </w:r>
          </w:p>
        </w:tc>
        <w:tc>
          <w:tcPr>
            <w:tcW w:type="dxa" w:w="2494"/>
          </w:tcPr>
          <w:p>
            <w:pPr>
              <w:bidi/>
              <w:spacing w:before="0" w:after="40"/>
              <w:jc w:val="both"/>
            </w:pPr>
            <w:r>
              <w:rPr>
                <w:color w:val="0F7A4F"/>
                <w:rtl/>
              </w:rPr>
              <w:t>שלמים</w:t>
            </w:r>
          </w:p>
        </w:tc>
      </w:tr>
      <w:tr>
        <w:tc>
          <w:tcPr>
            <w:tcW w:type="dxa" w:w="2494"/>
          </w:tcPr>
          <w:p>
            <w:pPr>
              <w:bidi/>
              <w:spacing w:before="0" w:after="40"/>
              <w:jc w:val="both"/>
            </w:pPr>
            <w:r>
              <w:rPr>
                <w:rtl/>
              </w:rPr>
              <w:t>מדרבנת</w:t>
            </w:r>
          </w:p>
        </w:tc>
        <w:tc>
          <w:tcPr>
            <w:tcW w:type="dxa" w:w="2494"/>
          </w:tcPr>
          <w:p>
            <w:pPr>
              <w:bidi/>
              <w:spacing w:before="0" w:after="40"/>
              <w:jc w:val="both"/>
            </w:pPr>
            <w:r>
              <w:rPr>
                <w:color w:val="0F7A4F"/>
                <w:rtl/>
              </w:rPr>
              <w:t>ד-ר-ב-נ</w:t>
            </w:r>
          </w:p>
        </w:tc>
        <w:tc>
          <w:tcPr>
            <w:tcW w:type="dxa" w:w="2494"/>
          </w:tcPr>
          <w:p>
            <w:pPr>
              <w:bidi/>
              <w:spacing w:before="0" w:after="40"/>
              <w:jc w:val="both"/>
            </w:pPr>
            <w:r>
              <w:rPr>
                <w:color w:val="0F7A4F"/>
                <w:rtl/>
              </w:rPr>
              <w:t>פיעל</w:t>
            </w:r>
          </w:p>
        </w:tc>
        <w:tc>
          <w:tcPr>
            <w:tcW w:type="dxa" w:w="2494"/>
          </w:tcPr>
          <w:p>
            <w:pPr>
              <w:bidi/>
              <w:spacing w:before="0" w:after="40"/>
              <w:jc w:val="both"/>
            </w:pPr>
            <w:r>
              <w:rPr>
                <w:color w:val="0F7A4F"/>
                <w:rtl/>
              </w:rPr>
              <w:t>מרובעים</w:t>
            </w:r>
          </w:p>
        </w:tc>
      </w:tr>
      <w:tr>
        <w:tc>
          <w:tcPr>
            <w:tcW w:type="dxa" w:w="2494"/>
          </w:tcPr>
          <w:p>
            <w:pPr>
              <w:bidi/>
              <w:spacing w:before="0" w:after="40"/>
              <w:jc w:val="both"/>
            </w:pPr>
            <w:r>
              <w:rPr>
                <w:rtl/>
              </w:rPr>
              <w:t>להתמודד</w:t>
            </w:r>
          </w:p>
        </w:tc>
        <w:tc>
          <w:tcPr>
            <w:tcW w:type="dxa" w:w="2494"/>
          </w:tcPr>
          <w:p>
            <w:pPr>
              <w:bidi/>
              <w:spacing w:before="0" w:after="40"/>
              <w:jc w:val="both"/>
            </w:pPr>
            <w:r>
              <w:rPr>
                <w:color w:val="0F7A4F"/>
                <w:rtl/>
              </w:rPr>
              <w:t>מ-ד-ד</w:t>
            </w:r>
          </w:p>
        </w:tc>
        <w:tc>
          <w:tcPr>
            <w:tcW w:type="dxa" w:w="2494"/>
          </w:tcPr>
          <w:p>
            <w:pPr>
              <w:bidi/>
              <w:spacing w:before="0" w:after="40"/>
              <w:jc w:val="both"/>
            </w:pPr>
            <w:r>
              <w:rPr>
                <w:color w:val="0F7A4F"/>
                <w:rtl/>
              </w:rPr>
              <w:t>התפעל</w:t>
            </w:r>
          </w:p>
        </w:tc>
        <w:tc>
          <w:tcPr>
            <w:tcW w:type="dxa" w:w="2494"/>
          </w:tcPr>
          <w:p>
            <w:pPr>
              <w:bidi/>
              <w:spacing w:before="0" w:after="40"/>
              <w:jc w:val="both"/>
            </w:pPr>
            <w:r>
              <w:rPr>
                <w:color w:val="0F7A4F"/>
                <w:rtl/>
              </w:rPr>
              <w:t>כפולים</w:t>
            </w:r>
          </w:p>
        </w:tc>
      </w:tr>
      <w:tr>
        <w:tc>
          <w:tcPr>
            <w:tcW w:type="dxa" w:w="2494"/>
          </w:tcPr>
          <w:p>
            <w:pPr>
              <w:bidi/>
              <w:spacing w:before="0" w:after="40"/>
              <w:jc w:val="both"/>
            </w:pPr>
            <w:r>
              <w:rPr>
                <w:rtl/>
              </w:rPr>
              <w:t>שבו (לנסות)</w:t>
            </w:r>
          </w:p>
        </w:tc>
        <w:tc>
          <w:tcPr>
            <w:tcW w:type="dxa" w:w="2494"/>
          </w:tcPr>
          <w:p>
            <w:pPr>
              <w:bidi/>
              <w:spacing w:before="0" w:after="40"/>
              <w:jc w:val="both"/>
            </w:pPr>
            <w:r>
              <w:rPr>
                <w:color w:val="0F7A4F"/>
                <w:rtl/>
              </w:rPr>
              <w:t>ש-ו-ב</w:t>
            </w:r>
          </w:p>
        </w:tc>
        <w:tc>
          <w:tcPr>
            <w:tcW w:type="dxa" w:w="2494"/>
          </w:tcPr>
          <w:p>
            <w:pPr>
              <w:bidi/>
              <w:spacing w:before="0" w:after="40"/>
              <w:jc w:val="both"/>
            </w:pPr>
            <w:r>
              <w:rPr>
                <w:color w:val="0F7A4F"/>
                <w:rtl/>
              </w:rPr>
              <w:t>פעל (קל)</w:t>
            </w:r>
          </w:p>
        </w:tc>
        <w:tc>
          <w:tcPr>
            <w:tcW w:type="dxa" w:w="2494"/>
          </w:tcPr>
          <w:p>
            <w:pPr>
              <w:bidi/>
              <w:spacing w:before="0" w:after="40"/>
              <w:jc w:val="both"/>
            </w:pPr>
            <w:r>
              <w:rPr>
                <w:color w:val="0F7A4F"/>
                <w:rtl/>
              </w:rPr>
              <w:t>נחי ע"ו</w:t>
            </w:r>
          </w:p>
        </w:tc>
      </w:tr>
      <w:tr>
        <w:tc>
          <w:tcPr>
            <w:tcW w:type="dxa" w:w="2494"/>
          </w:tcPr>
          <w:p>
            <w:pPr>
              <w:bidi/>
              <w:spacing w:before="0" w:after="40"/>
              <w:jc w:val="both"/>
            </w:pPr>
            <w:r>
              <w:rPr>
                <w:rtl/>
              </w:rPr>
              <w:t>מעזים</w:t>
            </w:r>
          </w:p>
        </w:tc>
        <w:tc>
          <w:tcPr>
            <w:tcW w:type="dxa" w:w="2494"/>
          </w:tcPr>
          <w:p>
            <w:pPr>
              <w:bidi/>
              <w:spacing w:before="0" w:after="40"/>
              <w:jc w:val="both"/>
            </w:pPr>
            <w:r>
              <w:rPr>
                <w:color w:val="0F7A4F"/>
                <w:rtl/>
              </w:rPr>
              <w:t>ע-ז-ז</w:t>
            </w:r>
          </w:p>
        </w:tc>
        <w:tc>
          <w:tcPr>
            <w:tcW w:type="dxa" w:w="2494"/>
          </w:tcPr>
          <w:p>
            <w:pPr>
              <w:bidi/>
              <w:spacing w:before="0" w:after="40"/>
              <w:jc w:val="both"/>
            </w:pPr>
            <w:r>
              <w:rPr>
                <w:color w:val="0F7A4F"/>
                <w:rtl/>
              </w:rPr>
              <w:t>הפעיל</w:t>
            </w:r>
          </w:p>
        </w:tc>
        <w:tc>
          <w:tcPr>
            <w:tcW w:type="dxa" w:w="2494"/>
          </w:tcPr>
          <w:p>
            <w:pPr>
              <w:bidi/>
              <w:spacing w:before="0" w:after="40"/>
              <w:jc w:val="both"/>
            </w:pPr>
            <w:r>
              <w:rPr>
                <w:color w:val="0F7A4F"/>
                <w:rtl/>
              </w:rPr>
              <w:t>כפולים</w:t>
            </w:r>
          </w:p>
        </w:tc>
      </w:tr>
      <w:tr>
        <w:tc>
          <w:tcPr>
            <w:tcW w:type="dxa" w:w="2494"/>
          </w:tcPr>
          <w:p>
            <w:pPr>
              <w:bidi/>
              <w:spacing w:before="0" w:after="40"/>
              <w:jc w:val="both"/>
            </w:pPr>
            <w:r>
              <w:rPr>
                <w:rtl/>
              </w:rPr>
              <w:t>נשנה</w:t>
            </w:r>
          </w:p>
        </w:tc>
        <w:tc>
          <w:tcPr>
            <w:tcW w:type="dxa" w:w="2494"/>
          </w:tcPr>
          <w:p>
            <w:pPr>
              <w:bidi/>
              <w:spacing w:before="0" w:after="40"/>
              <w:jc w:val="both"/>
            </w:pPr>
            <w:r>
              <w:rPr>
                <w:color w:val="0F7A4F"/>
                <w:rtl/>
              </w:rPr>
              <w:t>ש-נ-ה</w:t>
            </w:r>
          </w:p>
        </w:tc>
        <w:tc>
          <w:tcPr>
            <w:tcW w:type="dxa" w:w="2494"/>
          </w:tcPr>
          <w:p>
            <w:pPr>
              <w:bidi/>
              <w:spacing w:before="0" w:after="40"/>
              <w:jc w:val="both"/>
            </w:pPr>
            <w:r>
              <w:rPr>
                <w:color w:val="0F7A4F"/>
                <w:rtl/>
              </w:rPr>
              <w:t>נפעל</w:t>
            </w:r>
          </w:p>
        </w:tc>
        <w:tc>
          <w:tcPr>
            <w:tcW w:type="dxa" w:w="2494"/>
          </w:tcPr>
          <w:p>
            <w:pPr>
              <w:bidi/>
              <w:spacing w:before="0" w:after="40"/>
              <w:jc w:val="both"/>
            </w:pPr>
            <w:r>
              <w:rPr>
                <w:color w:val="0F7A4F"/>
                <w:rtl/>
              </w:rPr>
              <w:t>נחי ל"י</w:t>
            </w:r>
          </w:p>
        </w:tc>
      </w:tr>
      <w:tr>
        <w:tc>
          <w:tcPr>
            <w:tcW w:type="dxa" w:w="2494"/>
          </w:tcPr>
          <w:p>
            <w:pPr>
              <w:bidi/>
              <w:spacing w:before="0" w:after="40"/>
              <w:jc w:val="both"/>
            </w:pPr>
            <w:r>
              <w:rPr>
                <w:rtl/>
              </w:rPr>
              <w:t>מוטלת</w:t>
            </w:r>
          </w:p>
        </w:tc>
        <w:tc>
          <w:tcPr>
            <w:tcW w:type="dxa" w:w="2494"/>
          </w:tcPr>
          <w:p>
            <w:pPr>
              <w:bidi/>
              <w:spacing w:before="0" w:after="40"/>
              <w:jc w:val="both"/>
            </w:pPr>
            <w:r>
              <w:rPr>
                <w:color w:val="0F7A4F"/>
                <w:rtl/>
              </w:rPr>
              <w:t>נ-ט-ל</w:t>
            </w:r>
          </w:p>
        </w:tc>
        <w:tc>
          <w:tcPr>
            <w:tcW w:type="dxa" w:w="2494"/>
          </w:tcPr>
          <w:p>
            <w:pPr>
              <w:bidi/>
              <w:spacing w:before="0" w:after="40"/>
              <w:jc w:val="both"/>
            </w:pPr>
            <w:r>
              <w:rPr>
                <w:color w:val="0F7A4F"/>
                <w:rtl/>
              </w:rPr>
              <w:t>הופעל</w:t>
            </w:r>
          </w:p>
        </w:tc>
        <w:tc>
          <w:tcPr>
            <w:tcW w:type="dxa" w:w="2494"/>
          </w:tcPr>
          <w:p>
            <w:pPr>
              <w:bidi/>
              <w:spacing w:before="0" w:after="40"/>
              <w:jc w:val="both"/>
            </w:pPr>
            <w:r>
              <w:rPr>
                <w:color w:val="0F7A4F"/>
                <w:rtl/>
              </w:rPr>
              <w:t>חסרי פ"נ</w:t>
            </w:r>
          </w:p>
        </w:tc>
      </w:tr>
    </w:tbl>
    <w:p>
      <w:pPr>
        <w:bidi/>
        <w:spacing w:before="0" w:after="40"/>
        <w:jc w:val="both"/>
      </w:pPr>
    </w:p>
    <w:p>
      <w:pPr>
        <w:bidi/>
        <w:spacing w:before="160" w:after="60"/>
        <w:jc w:val="both"/>
      </w:pPr>
      <w:r>
        <w:rPr>
          <w:b/>
          <w:bCs/>
          <w:sz w:val="26"/>
          <w:szCs w:val="26"/>
          <w:rtl/>
        </w:rPr>
        <w:t>2. דרכי תצורה: לכל מילה כתבו את דרך התצורה, את הבסיס או השורש, ואת המשקל או הצורן. (5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6d28d9"/>
          </w:tcPr>
          <w:p>
            <w:pPr>
              <w:bidi/>
              <w:spacing w:before="0" w:after="40"/>
              <w:jc w:val="both"/>
            </w:pPr>
            <w:r>
              <w:rPr>
                <w:b/>
                <w:bCs/>
                <w:color w:val="FFFFFF"/>
                <w:rtl/>
              </w:rPr>
              <w:t>המילה</w:t>
            </w:r>
          </w:p>
        </w:tc>
        <w:tc>
          <w:tcPr>
            <w:tcW w:type="dxa" w:w="2494"/>
            <w:shd w:val="clear" w:color="auto" w:fill="6d28d9"/>
          </w:tcPr>
          <w:p>
            <w:pPr>
              <w:bidi/>
              <w:spacing w:before="0" w:after="40"/>
              <w:jc w:val="both"/>
            </w:pPr>
            <w:r>
              <w:rPr>
                <w:b/>
                <w:bCs/>
                <w:color w:val="FFFFFF"/>
                <w:rtl/>
              </w:rPr>
              <w:t>דרך התצורה</w:t>
            </w:r>
          </w:p>
        </w:tc>
        <w:tc>
          <w:tcPr>
            <w:tcW w:type="dxa" w:w="2494"/>
            <w:shd w:val="clear" w:color="auto" w:fill="6d28d9"/>
          </w:tcPr>
          <w:p>
            <w:pPr>
              <w:bidi/>
              <w:spacing w:before="0" w:after="40"/>
              <w:jc w:val="both"/>
            </w:pPr>
            <w:r>
              <w:rPr>
                <w:b/>
                <w:bCs/>
                <w:color w:val="FFFFFF"/>
                <w:rtl/>
              </w:rPr>
              <w:t>בסיס / שורש</w:t>
            </w:r>
          </w:p>
        </w:tc>
        <w:tc>
          <w:tcPr>
            <w:tcW w:type="dxa" w:w="2494"/>
            <w:shd w:val="clear" w:color="auto" w:fill="6d28d9"/>
          </w:tcPr>
          <w:p>
            <w:pPr>
              <w:bidi/>
              <w:spacing w:before="0" w:after="40"/>
              <w:jc w:val="both"/>
            </w:pPr>
            <w:r>
              <w:rPr>
                <w:b/>
                <w:bCs/>
                <w:color w:val="FFFFFF"/>
                <w:rtl/>
              </w:rPr>
              <w:t>משקל / צורן</w:t>
            </w:r>
          </w:p>
        </w:tc>
      </w:tr>
      <w:tr>
        <w:tc>
          <w:tcPr>
            <w:tcW w:type="dxa" w:w="2494"/>
          </w:tcPr>
          <w:p>
            <w:pPr>
              <w:bidi/>
              <w:spacing w:before="0" w:after="40"/>
              <w:jc w:val="both"/>
            </w:pPr>
            <w:r>
              <w:rPr>
                <w:rtl/>
              </w:rPr>
              <w:t>עמידות</w:t>
            </w:r>
          </w:p>
        </w:tc>
        <w:tc>
          <w:tcPr>
            <w:tcW w:type="dxa" w:w="2494"/>
          </w:tcPr>
          <w:p>
            <w:pPr>
              <w:bidi/>
              <w:spacing w:before="0" w:after="40"/>
              <w:jc w:val="both"/>
            </w:pPr>
            <w:r>
              <w:rPr>
                <w:color w:val="0F7A4F"/>
                <w:rtl/>
              </w:rPr>
              <w:t>בסיס וצורן</w:t>
            </w:r>
          </w:p>
        </w:tc>
        <w:tc>
          <w:tcPr>
            <w:tcW w:type="dxa" w:w="2494"/>
          </w:tcPr>
          <w:p>
            <w:pPr>
              <w:bidi/>
              <w:spacing w:before="0" w:after="40"/>
              <w:jc w:val="both"/>
            </w:pPr>
            <w:r>
              <w:rPr>
                <w:color w:val="0F7A4F"/>
                <w:rtl/>
              </w:rPr>
              <w:t>עמיד</w:t>
            </w:r>
          </w:p>
        </w:tc>
        <w:tc>
          <w:tcPr>
            <w:tcW w:type="dxa" w:w="2494"/>
          </w:tcPr>
          <w:p>
            <w:pPr>
              <w:bidi/>
              <w:spacing w:before="0" w:after="40"/>
              <w:jc w:val="both"/>
            </w:pPr>
            <w:r>
              <w:rPr>
                <w:color w:val="0F7A4F"/>
                <w:rtl/>
              </w:rPr>
              <w:t>־ות</w:t>
            </w:r>
          </w:p>
        </w:tc>
      </w:tr>
      <w:tr>
        <w:tc>
          <w:tcPr>
            <w:tcW w:type="dxa" w:w="2494"/>
          </w:tcPr>
          <w:p>
            <w:pPr>
              <w:bidi/>
              <w:spacing w:before="0" w:after="40"/>
              <w:jc w:val="both"/>
            </w:pPr>
            <w:r>
              <w:rPr>
                <w:rtl/>
              </w:rPr>
              <w:t>התנדבות</w:t>
            </w:r>
          </w:p>
        </w:tc>
        <w:tc>
          <w:tcPr>
            <w:tcW w:type="dxa" w:w="2494"/>
          </w:tcPr>
          <w:p>
            <w:pPr>
              <w:bidi/>
              <w:spacing w:before="0" w:after="40"/>
              <w:jc w:val="both"/>
            </w:pPr>
            <w:r>
              <w:rPr>
                <w:color w:val="0F7A4F"/>
                <w:rtl/>
              </w:rPr>
              <w:t>שורש ומשקל</w:t>
            </w:r>
          </w:p>
        </w:tc>
        <w:tc>
          <w:tcPr>
            <w:tcW w:type="dxa" w:w="2494"/>
          </w:tcPr>
          <w:p>
            <w:pPr>
              <w:bidi/>
              <w:spacing w:before="0" w:after="40"/>
              <w:jc w:val="both"/>
            </w:pPr>
            <w:r>
              <w:rPr>
                <w:color w:val="0F7A4F"/>
                <w:rtl/>
              </w:rPr>
              <w:t>נ-ד-ב</w:t>
            </w:r>
          </w:p>
        </w:tc>
        <w:tc>
          <w:tcPr>
            <w:tcW w:type="dxa" w:w="2494"/>
          </w:tcPr>
          <w:p>
            <w:pPr>
              <w:bidi/>
              <w:spacing w:before="0" w:after="40"/>
              <w:jc w:val="both"/>
            </w:pPr>
            <w:r>
              <w:rPr>
                <w:color w:val="0F7A4F"/>
                <w:rtl/>
              </w:rPr>
              <w:t>הִתְקַטְּלוּת</w:t>
            </w:r>
          </w:p>
        </w:tc>
      </w:tr>
      <w:tr>
        <w:tc>
          <w:tcPr>
            <w:tcW w:type="dxa" w:w="2494"/>
          </w:tcPr>
          <w:p>
            <w:pPr>
              <w:bidi/>
              <w:spacing w:before="0" w:after="40"/>
              <w:jc w:val="both"/>
            </w:pPr>
            <w:r>
              <w:rPr>
                <w:rtl/>
              </w:rPr>
              <w:t>יומן</w:t>
            </w:r>
          </w:p>
        </w:tc>
        <w:tc>
          <w:tcPr>
            <w:tcW w:type="dxa" w:w="2494"/>
          </w:tcPr>
          <w:p>
            <w:pPr>
              <w:bidi/>
              <w:spacing w:before="0" w:after="40"/>
              <w:jc w:val="both"/>
            </w:pPr>
            <w:r>
              <w:rPr>
                <w:color w:val="0F7A4F"/>
                <w:rtl/>
              </w:rPr>
              <w:t>בסיס וצורן</w:t>
            </w:r>
          </w:p>
        </w:tc>
        <w:tc>
          <w:tcPr>
            <w:tcW w:type="dxa" w:w="2494"/>
          </w:tcPr>
          <w:p>
            <w:pPr>
              <w:bidi/>
              <w:spacing w:before="0" w:after="40"/>
              <w:jc w:val="both"/>
            </w:pPr>
            <w:r>
              <w:rPr>
                <w:color w:val="0F7A4F"/>
                <w:rtl/>
              </w:rPr>
              <w:t>יום</w:t>
            </w:r>
          </w:p>
        </w:tc>
        <w:tc>
          <w:tcPr>
            <w:tcW w:type="dxa" w:w="2494"/>
          </w:tcPr>
          <w:p>
            <w:pPr>
              <w:bidi/>
              <w:spacing w:before="0" w:after="40"/>
              <w:jc w:val="both"/>
            </w:pPr>
            <w:r>
              <w:rPr>
                <w:color w:val="0F7A4F"/>
                <w:rtl/>
              </w:rPr>
              <w:t>־ן</w:t>
            </w:r>
          </w:p>
        </w:tc>
      </w:tr>
      <w:tr>
        <w:tc>
          <w:tcPr>
            <w:tcW w:type="dxa" w:w="2494"/>
          </w:tcPr>
          <w:p>
            <w:pPr>
              <w:bidi/>
              <w:spacing w:before="0" w:after="40"/>
              <w:jc w:val="both"/>
            </w:pPr>
            <w:r>
              <w:rPr>
                <w:rtl/>
              </w:rPr>
              <w:t>כישלון</w:t>
            </w:r>
          </w:p>
        </w:tc>
        <w:tc>
          <w:tcPr>
            <w:tcW w:type="dxa" w:w="2494"/>
          </w:tcPr>
          <w:p>
            <w:pPr>
              <w:bidi/>
              <w:spacing w:before="0" w:after="40"/>
              <w:jc w:val="both"/>
            </w:pPr>
            <w:r>
              <w:rPr>
                <w:color w:val="0F7A4F"/>
                <w:rtl/>
              </w:rPr>
              <w:t>שורש ומשקל</w:t>
            </w:r>
          </w:p>
        </w:tc>
        <w:tc>
          <w:tcPr>
            <w:tcW w:type="dxa" w:w="2494"/>
          </w:tcPr>
          <w:p>
            <w:pPr>
              <w:bidi/>
              <w:spacing w:before="0" w:after="40"/>
              <w:jc w:val="both"/>
            </w:pPr>
            <w:r>
              <w:rPr>
                <w:color w:val="0F7A4F"/>
                <w:rtl/>
              </w:rPr>
              <w:t>כ-ש-ל</w:t>
            </w:r>
          </w:p>
        </w:tc>
        <w:tc>
          <w:tcPr>
            <w:tcW w:type="dxa" w:w="2494"/>
          </w:tcPr>
          <w:p>
            <w:pPr>
              <w:bidi/>
              <w:spacing w:before="0" w:after="40"/>
              <w:jc w:val="both"/>
            </w:pPr>
            <w:r>
              <w:rPr>
                <w:color w:val="0F7A4F"/>
                <w:rtl/>
              </w:rPr>
              <w:t>קִטָּלוֹן</w:t>
            </w:r>
          </w:p>
        </w:tc>
      </w:tr>
      <w:tr>
        <w:tc>
          <w:tcPr>
            <w:tcW w:type="dxa" w:w="2494"/>
          </w:tcPr>
          <w:p>
            <w:pPr>
              <w:bidi/>
              <w:spacing w:before="0" w:after="40"/>
              <w:jc w:val="both"/>
            </w:pPr>
            <w:r>
              <w:rPr>
                <w:rtl/>
              </w:rPr>
              <w:t>חינוכי</w:t>
            </w:r>
          </w:p>
        </w:tc>
        <w:tc>
          <w:tcPr>
            <w:tcW w:type="dxa" w:w="2494"/>
          </w:tcPr>
          <w:p>
            <w:pPr>
              <w:bidi/>
              <w:spacing w:before="0" w:after="40"/>
              <w:jc w:val="both"/>
            </w:pPr>
            <w:r>
              <w:rPr>
                <w:color w:val="0F7A4F"/>
                <w:rtl/>
              </w:rPr>
              <w:t>בסיס וצורן</w:t>
            </w:r>
          </w:p>
        </w:tc>
        <w:tc>
          <w:tcPr>
            <w:tcW w:type="dxa" w:w="2494"/>
          </w:tcPr>
          <w:p>
            <w:pPr>
              <w:bidi/>
              <w:spacing w:before="0" w:after="40"/>
              <w:jc w:val="both"/>
            </w:pPr>
            <w:r>
              <w:rPr>
                <w:color w:val="0F7A4F"/>
                <w:rtl/>
              </w:rPr>
              <w:t>חינוך</w:t>
            </w:r>
          </w:p>
        </w:tc>
        <w:tc>
          <w:tcPr>
            <w:tcW w:type="dxa" w:w="2494"/>
          </w:tcPr>
          <w:p>
            <w:pPr>
              <w:bidi/>
              <w:spacing w:before="0" w:after="40"/>
              <w:jc w:val="both"/>
            </w:pPr>
            <w:r>
              <w:rPr>
                <w:color w:val="0F7A4F"/>
                <w:rtl/>
              </w:rPr>
              <w:t>־י</w:t>
            </w:r>
          </w:p>
        </w:tc>
      </w:tr>
    </w:tbl>
    <w:p>
      <w:pPr>
        <w:bidi/>
        <w:spacing w:before="0" w:after="40"/>
        <w:jc w:val="both"/>
      </w:pPr>
    </w:p>
    <w:p>
      <w:pPr>
        <w:bidi/>
        <w:spacing w:before="160" w:after="60"/>
        <w:jc w:val="both"/>
      </w:pPr>
      <w:r>
        <w:rPr>
          <w:b/>
          <w:bCs/>
          <w:sz w:val="26"/>
          <w:szCs w:val="26"/>
          <w:rtl/>
        </w:rPr>
        <w:t>3. סביל: כתבו את צורת הסביל של כל פועל באותו זמן ובאותו גוף, וכתבו בסוגריים את שם הבניין. (5 נק')</w:t>
      </w:r>
    </w:p>
    <w:p>
      <w:pPr>
        <w:bidi/>
        <w:spacing w:before="0" w:after="40"/>
        <w:jc w:val="both"/>
      </w:pPr>
      <w:r>
        <w:rPr>
          <w:rtl/>
        </w:rPr>
        <w:t>א. הגדיר ← הוּגְדַּר (הופעל)</w:t>
      </w:r>
    </w:p>
    <w:p>
      <w:pPr>
        <w:bidi/>
        <w:spacing w:before="0" w:after="40"/>
        <w:jc w:val="both"/>
      </w:pPr>
      <w:r>
        <w:rPr>
          <w:rtl/>
        </w:rPr>
        <w:t>ב. שיבח ← שֻׁבַּח (פועל)</w:t>
      </w:r>
    </w:p>
    <w:p>
      <w:pPr>
        <w:bidi/>
        <w:spacing w:before="0" w:after="40"/>
        <w:jc w:val="both"/>
      </w:pPr>
      <w:r>
        <w:rPr>
          <w:rtl/>
        </w:rPr>
        <w:t>ג. הסתיר ← הוּסְתַּר (הופעל)</w:t>
      </w:r>
    </w:p>
    <w:p>
      <w:pPr>
        <w:bidi/>
        <w:spacing w:before="0" w:after="40"/>
        <w:jc w:val="both"/>
      </w:pPr>
      <w:r>
        <w:rPr>
          <w:rtl/>
        </w:rPr>
        <w:t>ד. תיקן ← תֻּקַּן (פועל)</w:t>
      </w:r>
    </w:p>
    <w:p>
      <w:pPr>
        <w:bidi/>
        <w:spacing w:before="0" w:after="40"/>
        <w:jc w:val="both"/>
      </w:pPr>
      <w:r>
        <w:rPr>
          <w:rtl/>
        </w:rPr>
        <w:t>ה. כתב ← נִכְתַּב (נפעל)</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arkisim" w:hAnsi="Narkisim" w:cs="Narkisim"/>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