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חלקי המשפט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איך מזהים כל חלק במשפט – עיקרי המשפט, המשלימים וההסגר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עיקרי המשפט</w:t>
      </w:r>
    </w:p>
    <w:p>
      <w:pPr>
        <w:bidi/>
        <w:spacing w:before="0" w:after="40"/>
        <w:jc w:val="both"/>
      </w:pPr>
      <w:r>
        <w:rPr>
          <w:rtl/>
        </w:rPr>
        <w:t>מתחילים מהנשוא, ואחריו מוצאים את הנושא.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המשפט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הנשוא?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       נושא       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התלמידים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   נשוא   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הציגו</w:t>
                  </w:r>
                </w:rubyBase>
              </w:ruby>
            </w:r>
            <w:r>
              <w:rPr>
                <w:rtl/>
              </w:rPr>
              <w:t xml:space="preserve"> עבודה.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עצם, שם תואר או צירוף יחס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 נושא 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הים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 נשוא שמני 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סוער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שמני עם אוגד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שם, ולפניו אוגד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  נושא  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הדרך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546E7A"/>
                      <w:u w:val="single" w:color="546E7A"/>
                      <w:sz w:val="14"/>
                      <w:szCs w:val="14"/>
                      <w:rtl/>
                    </w:rPr>
                    <w:t xml:space="preserve">   אוגד   </w:t>
                  </w:r>
                </w:rt>
                <w:rubyBase>
                  <w:r>
                    <w:rPr>
                      <w:b/>
                      <w:bCs/>
                      <w:color w:val="546E7A"/>
                      <w:sz w:val="25"/>
                      <w:szCs w:val="25"/>
                      <w:rtl/>
                    </w:rPr>
                    <w:t xml:space="preserve">הייתה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 נשוא שמני 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ארוכה</w:t>
                  </w:r>
                </w:rubyBase>
              </w:ruby>
            </w:r>
            <w:r>
              <w:rPr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המשלימים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למה הוא מצטרף?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לפועל, לרוב אחרי מילת יחס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 xml:space="preserve">סיפרה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2E7D32"/>
                      <w:u w:val="single" w:color="2E7D32"/>
                      <w:sz w:val="14"/>
                      <w:szCs w:val="14"/>
                      <w:rtl/>
                    </w:rPr>
                    <w:t xml:space="preserve">      מושא      </w:t>
                  </w:r>
                </w:rt>
                <w:rubyBase>
                  <w:r>
                    <w:rPr>
                      <w:b/>
                      <w:bCs/>
                      <w:color w:val="2E7D32"/>
                      <w:sz w:val="25"/>
                      <w:szCs w:val="25"/>
                      <w:rtl/>
                    </w:rPr>
                    <w:t xml:space="preserve">על המסע</w:t>
                  </w:r>
                </w:rubyBase>
              </w:ruby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לפעולה – זמן, מקום, סיבה, אופן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 תיאור זמן 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בערב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 תיאור מקום 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בבית</w:t>
                  </w:r>
                </w:rubyBase>
              </w:ruby>
            </w:r>
            <w:r>
              <w:rPr>
                <w:rtl/>
              </w:rPr>
              <w:t xml:space="preserve">,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E65100"/>
                      <w:u w:val="single" w:color="E65100"/>
                      <w:sz w:val="14"/>
                      <w:szCs w:val="14"/>
                      <w:rtl/>
                    </w:rPr>
                    <w:t xml:space="preserve">  תיאור אופן  </w:t>
                  </w:r>
                </w:rt>
                <w:rubyBase>
                  <w:r>
                    <w:rPr>
                      <w:b/>
                      <w:bCs/>
                      <w:color w:val="E65100"/>
                      <w:sz w:val="25"/>
                      <w:szCs w:val="25"/>
                      <w:rtl/>
                    </w:rPr>
                    <w:t xml:space="preserve">בזהירות</w:t>
                  </w:r>
                </w:rubyBase>
              </w:ruby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לשם עצם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 xml:space="preserve">ספר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6D4C41"/>
                      <w:u w:val="single" w:color="6D4C41"/>
                      <w:sz w:val="14"/>
                      <w:szCs w:val="14"/>
                      <w:rtl/>
                    </w:rPr>
                    <w:t xml:space="preserve">  לוואי  </w:t>
                  </w:r>
                </w:rt>
                <w:rubyBase>
                  <w:r>
                    <w:rPr>
                      <w:b/>
                      <w:bCs/>
                      <w:color w:val="6D4C41"/>
                      <w:sz w:val="25"/>
                      <w:szCs w:val="25"/>
                      <w:rtl/>
                    </w:rPr>
                    <w:t xml:space="preserve">מרתק</w:t>
                  </w:r>
                </w:rubyBase>
              </w:ruby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הסגר</w:t>
      </w:r>
    </w:p>
    <w:p>
      <w:pPr>
        <w:bidi/>
        <w:spacing w:before="0" w:after="20"/>
        <w:jc w:val="both"/>
      </w:pPr>
      <w:r>
        <w:rPr>
          <w:rtl/>
        </w:rPr>
        <w:t>1. מביע עמדה, הסבר או מקור.</w:t>
      </w:r>
    </w:p>
    <w:p>
      <w:pPr>
        <w:bidi/>
        <w:spacing w:before="0" w:after="20"/>
        <w:jc w:val="both"/>
      </w:pPr>
      <w:r>
        <w:rPr>
          <w:rtl/>
        </w:rPr>
        <w:t>2. מופרד בפסיקים, במקפים או בסוגריים.</w:t>
      </w:r>
    </w:p>
    <w:p>
      <w:pPr>
        <w:bidi/>
        <w:spacing w:before="0" w:after="20"/>
        <w:jc w:val="both"/>
      </w:pPr>
      <w:r>
        <w:rPr>
          <w:rtl/>
        </w:rPr>
        <w:t>3. בלעדיו המשפט נשאר שלם.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דוגמאות: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78909C"/>
                <w:u w:val="single" w:color="78909C"/>
                <w:sz w:val="14"/>
                <w:szCs w:val="14"/>
                <w:rtl/>
              </w:rPr>
              <w:t xml:space="preserve">   הסגר   </w:t>
            </w:r>
          </w:rt>
          <w:rubyBase>
            <w:r>
              <w:rPr>
                <w:b/>
                <w:bCs/>
                <w:color w:val="78909C"/>
                <w:sz w:val="24"/>
                <w:szCs w:val="24"/>
                <w:rtl/>
              </w:rPr>
              <w:t xml:space="preserve">לדעתי</w:t>
            </w:r>
          </w:rubyBase>
        </w:ruby>
      </w:r>
      <w:r>
        <w:rPr>
          <w:color w:val="334055"/>
          <w:sz w:val="24"/>
          <w:szCs w:val="24"/>
          <w:rtl/>
        </w:rPr>
        <w:t xml:space="preserve">, ההחלטה נכונה. · הפרויקט,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78909C"/>
                <w:u w:val="single" w:color="78909C"/>
                <w:sz w:val="14"/>
                <w:szCs w:val="14"/>
                <w:rtl/>
              </w:rPr>
              <w:t xml:space="preserve">      הסגר      </w:t>
            </w:r>
          </w:rt>
          <w:rubyBase>
            <w:r>
              <w:rPr>
                <w:b/>
                <w:bCs/>
                <w:color w:val="78909C"/>
                <w:sz w:val="24"/>
                <w:szCs w:val="24"/>
                <w:rtl/>
              </w:rPr>
              <w:t xml:space="preserve">כך נמסר</w:t>
            </w:r>
          </w:rubyBase>
        </w:ruby>
      </w:r>
      <w:r>
        <w:rPr>
          <w:color w:val="334055"/>
          <w:sz w:val="24"/>
          <w:szCs w:val="24"/>
          <w:rtl/>
        </w:rPr>
        <w:t>, יושלם בקיץ.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מתחילים תמיד מהנשוא: שואלים «מה נאמר כאן?», ואז «על מי או על מה?» – כך מוצאים את הנושא. רק אחר כך מזהים את המשלימים.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במשפט «בבוקר נסגר הכביש הראשי» המילה «בבוקר» היא ___.</w:t>
      </w:r>
    </w:p>
    <w:p>
      <w:pPr>
        <w:bidi/>
        <w:spacing w:before="0" w:after="20"/>
        <w:jc w:val="both"/>
      </w:pPr>
      <w:r>
        <w:rPr>
          <w:rtl/>
        </w:rPr>
        <w:t>1. הנשוא: נסגר; הנושא: הכביש.</w:t>
      </w:r>
    </w:p>
    <w:p>
      <w:pPr>
        <w:bidi/>
        <w:spacing w:before="0" w:after="20"/>
        <w:jc w:val="both"/>
      </w:pPr>
      <w:r>
        <w:rPr>
          <w:rtl/>
        </w:rPr>
        <w:t>2. «בבוקר» עונה על השאלה «מתי?» – זו נסיבה של הפעולה.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תיאור זמן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כתבו מה התפקיד התחבירי של המילה או הצירוף במירכאות:</w:t>
      </w:r>
    </w:p>
    <w:p>
      <w:pPr>
        <w:bidi/>
        <w:spacing w:before="0" w:after="60"/>
        <w:jc w:val="both"/>
      </w:pPr>
      <w:r>
        <w:rPr>
          <w:rtl/>
        </w:rPr>
        <w:t>א. במשפט «השיעור היה מעניין» המילה «היה» היא __________.</w:t>
      </w:r>
    </w:p>
    <w:p>
      <w:pPr>
        <w:bidi/>
        <w:spacing w:before="0" w:after="60"/>
        <w:jc w:val="both"/>
      </w:pPr>
      <w:r>
        <w:rPr>
          <w:rtl/>
        </w:rPr>
        <w:t>ב. במשפט «קראתי את המאמר» הצירוף «את המאמר» הוא __________.</w:t>
      </w:r>
    </w:p>
    <w:p>
      <w:pPr>
        <w:bidi/>
        <w:spacing w:before="0" w:after="60"/>
        <w:jc w:val="both"/>
      </w:pPr>
      <w:r>
        <w:rPr>
          <w:rtl/>
        </w:rPr>
        <w:t>ג. במשפט «הם, למרבה הצער, איחרו» הצירוף «למרבה הצער» הוא __________.</w:t>
      </w:r>
    </w:p>
    <w:p>
      <w:pPr>
        <w:bidi/>
        <w:spacing w:before="0" w:after="60"/>
        <w:jc w:val="both"/>
      </w:pPr>
      <w:r>
        <w:rPr>
          <w:rtl/>
        </w:rPr>
        <w:t>ד. בצירוף «תוכנית חדשה» המילה «חדשה» היא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אוגד · ב. מושא · ג. הסגר · ד. לוואי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