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לשון · כיתה ו'   |   מחוון למבחן</w:t>
      </w:r>
    </w:p>
    <w:p>
      <w:pPr>
        <w:bidi/>
        <w:spacing w:before="0" w:after="120"/>
        <w:jc w:val="both"/>
      </w:pPr>
      <w:r>
        <w:rPr>
          <w:rFonts w:ascii="David" w:hAnsi="David" w:cs="David"/>
          <w:b/>
          <w:bCs/>
          <w:color w:val="9F1239"/>
          <w:sz w:val="44"/>
          <w:szCs w:val="44"/>
          <w:rtl/>
        </w:rPr>
        <w:t>🎯 מבחן מסכם בלשון – כיתה ו' · רמה גבוהה – מחוון</w:t>
      </w:r>
    </w:p>
    <w:p>
      <w:pPr>
        <w:bidi/>
        <w:spacing w:before="0" w:after="120"/>
        <w:jc w:val="both"/>
      </w:pPr>
      <w:r>
        <w:rPr>
          <w:color w:val="5B6476"/>
          <w:sz w:val="22"/>
          <w:szCs w:val="22"/>
          <w:rtl/>
        </w:rPr>
        <w:t>משך המבחן: 90 דקות · סך הכול 100 נקודות · קראו את הסיפור פעמיים לפני שתענו.</w:t>
      </w:r>
    </w:p>
    <w:p>
      <w:pPr>
        <w:bidi/>
        <w:spacing w:before="200" w:after="80"/>
        <w:jc w:val="both"/>
      </w:pPr>
      <w:r>
        <w:rPr>
          <w:rFonts w:ascii="David" w:hAnsi="David" w:cs="David"/>
          <w:b/>
          <w:bCs/>
          <w:color w:val="9F1239"/>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חלק</w:t>
            </w:r>
          </w:p>
        </w:tc>
        <w:tc>
          <w:tcPr>
            <w:tcW w:type="dxa" w:w="3326"/>
            <w:shd w:val="clear" w:color="auto" w:fill="9f1239"/>
          </w:tcPr>
          <w:p>
            <w:pPr>
              <w:bidi/>
              <w:spacing w:before="0" w:after="40"/>
              <w:jc w:val="both"/>
            </w:pPr>
            <w:r>
              <w:rPr>
                <w:b/>
                <w:bCs/>
                <w:color w:val="FFFFFF"/>
                <w:rtl/>
              </w:rPr>
              <w:t>ניקוד מרבי</w:t>
            </w:r>
          </w:p>
        </w:tc>
        <w:tc>
          <w:tcPr>
            <w:tcW w:type="dxa" w:w="3326"/>
            <w:shd w:val="clear" w:color="auto" w:fill="9f1239"/>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ידע לשוני</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David" w:hAnsi="David" w:cs="David"/>
          <w:b/>
          <w:bCs/>
          <w:color w:val="9F1239"/>
          <w:sz w:val="32"/>
          <w:szCs w:val="32"/>
          <w:rtl/>
        </w:rPr>
        <w:t>חלק א: הבנת הנקרא (40 נק')</w:t>
      </w:r>
    </w:p>
    <w:p>
      <w:pPr>
        <w:bidi/>
        <w:spacing w:before="160" w:after="60"/>
        <w:jc w:val="both"/>
      </w:pPr>
      <w:r>
        <w:rPr>
          <w:b/>
          <w:bCs/>
          <w:sz w:val="26"/>
          <w:szCs w:val="26"/>
          <w:rtl/>
        </w:rPr>
        <w:t>1. בחרו את התשובה הנכונה לפי הסיפור. (6 נק')</w:t>
      </w:r>
    </w:p>
    <w:p>
      <w:pPr>
        <w:bidi/>
        <w:spacing w:before="0" w:after="20"/>
        <w:jc w:val="both"/>
      </w:pPr>
      <w:r>
        <w:rPr>
          <w:rtl/>
        </w:rPr>
        <w:t>א. לפי שורות 1–3, היכן נמצא הכינור?</w:t>
      </w:r>
    </w:p>
    <w:p>
      <w:pPr>
        <w:bidi/>
        <w:spacing w:before="0" w:after="80"/>
        <w:jc w:val="both"/>
      </w:pPr>
      <w:r>
        <w:rPr>
          <w:b/>
          <w:bCs/>
          <w:color w:val="0F7A4F"/>
          <w:rtl/>
        </w:rPr>
        <w:t xml:space="preserve">   ✔ בעליית הגג בדירה של סבא</w:t>
      </w:r>
    </w:p>
    <w:p>
      <w:pPr>
        <w:bidi/>
        <w:spacing w:before="0" w:after="20"/>
        <w:jc w:val="both"/>
      </w:pPr>
      <w:r>
        <w:rPr>
          <w:rtl/>
        </w:rPr>
        <w:t>ב. לפי שורות 13–16, מה סיפרה סבתא על סבא?</w:t>
      </w:r>
    </w:p>
    <w:p>
      <w:pPr>
        <w:bidi/>
        <w:spacing w:before="0" w:after="80"/>
        <w:jc w:val="both"/>
      </w:pPr>
      <w:r>
        <w:rPr>
          <w:b/>
          <w:bCs/>
          <w:color w:val="0F7A4F"/>
          <w:rtl/>
        </w:rPr>
        <w:t xml:space="preserve">   ✔ שהוא ניגן בכל ערב בחדר האוכל של הקיבוץ</w:t>
      </w:r>
    </w:p>
    <w:p>
      <w:pPr>
        <w:bidi/>
        <w:spacing w:before="0" w:after="20"/>
        <w:jc w:val="both"/>
      </w:pPr>
      <w:r>
        <w:rPr>
          <w:rtl/>
        </w:rPr>
        <w:t>ג. לפי שורות 20–22, מה אמרה המורה למוזיקה לתמר?</w:t>
      </w:r>
    </w:p>
    <w:p>
      <w:pPr>
        <w:bidi/>
        <w:spacing w:before="0" w:after="80"/>
        <w:jc w:val="both"/>
      </w:pPr>
      <w:r>
        <w:rPr>
          <w:b/>
          <w:bCs/>
          <w:color w:val="0F7A4F"/>
          <w:rtl/>
        </w:rPr>
        <w:t xml:space="preserve">   ✔ שיש חוג, אבל הכלי קשה ודורש סבלנות</w:t>
      </w:r>
    </w:p>
    <w:p>
      <w:pPr>
        <w:bidi/>
        <w:spacing w:before="160" w:after="60"/>
        <w:jc w:val="both"/>
      </w:pPr>
      <w:r>
        <w:rPr>
          <w:b/>
          <w:bCs/>
          <w:sz w:val="26"/>
          <w:szCs w:val="26"/>
          <w:rtl/>
        </w:rPr>
        <w:t>2. הסקת מסקנות: מדוע הרגישה תמר «כאילו בגדה במשהו» אחרי השיחה עם החברות, בשורות 10–12? במה, לדעתכם, היא «בגדה»? (6 נק')</w:t>
      </w:r>
    </w:p>
    <w:p>
      <w:pPr>
        <w:bidi/>
        <w:spacing w:before="0" w:after="80"/>
        <w:jc w:val="both"/>
      </w:pPr>
      <w:r>
        <w:rPr>
          <w:color w:val="0F7A4F"/>
          <w:rtl/>
        </w:rPr>
        <w:t>תשובה אפשרית: תמר צחקה יחד עם החברות על הכינור, אף שהכינור היה חשוב לה וקשר אותה לסבא (3). היא הרגישה שבצחוק הזה זלזלה בזיכרון של סבא ובתחושה שלה עצמה, כלומר «בגדה» ברצון שלה ובסבא (3).</w:t>
      </w:r>
    </w:p>
    <w:p>
      <w:pPr>
        <w:bidi/>
        <w:spacing w:before="160" w:after="60"/>
        <w:jc w:val="both"/>
      </w:pPr>
      <w:r>
        <w:rPr>
          <w:b/>
          <w:bCs/>
          <w:sz w:val="26"/>
          <w:szCs w:val="26"/>
          <w:rtl/>
        </w:rPr>
        <w:t>3. פרשנות: בסיפור, בשורות 20–22, אומרת תמר: «סבלנות זה דבר שעובר במשפחה». הסבירו את דבריה בעזרת שני פרטים מן הסיפור על סבא. (6 נק')</w:t>
      </w:r>
    </w:p>
    <w:p>
      <w:pPr>
        <w:bidi/>
        <w:spacing w:before="0" w:after="80"/>
        <w:jc w:val="both"/>
      </w:pPr>
      <w:r>
        <w:rPr>
          <w:color w:val="0F7A4F"/>
          <w:rtl/>
        </w:rPr>
        <w:t>תשובה אפשרית: תמר מבינה שהסבלנות שהכינור דורש קיימת גם אצלה, כי ירשה אותה מסבא (2). פרטים (2+2): סבא פתר תשבצים בעט בלי מחיקות; הוא גידל עגבניות בשקט עונה אחרי עונה; הוא חיכה שנים «ליום שבו יחזור לנגן».</w:t>
      </w:r>
    </w:p>
    <w:p>
      <w:pPr>
        <w:bidi/>
        <w:spacing w:before="160" w:after="60"/>
        <w:jc w:val="both"/>
      </w:pPr>
      <w:r>
        <w:rPr>
          <w:b/>
          <w:bCs/>
          <w:sz w:val="26"/>
          <w:szCs w:val="26"/>
          <w:rtl/>
        </w:rPr>
        <w:t>4. פרשנות: מה מבטא המשפט האחרון בסיפור, בשורות 23–26: «כאילו מישהו נוסף יושב איתם בחדר»? (4 נק')</w:t>
      </w:r>
    </w:p>
    <w:p>
      <w:pPr>
        <w:bidi/>
        <w:spacing w:before="0" w:after="80"/>
        <w:jc w:val="both"/>
      </w:pPr>
      <w:r>
        <w:rPr>
          <w:color w:val="0F7A4F"/>
          <w:rtl/>
        </w:rPr>
        <w:t>תשובה אפשרית: הנגינה של תמר מחזירה את זכרו של סבא; בני המשפחה מרגישים שהוא נוכח איתם, ושהחלום שלו לחזור לנגן מתגשם דרך נכדתו (4).</w:t>
      </w:r>
    </w:p>
    <w:p>
      <w:pPr>
        <w:bidi/>
        <w:spacing w:before="160" w:after="60"/>
        <w:jc w:val="both"/>
      </w:pPr>
      <w:r>
        <w:rPr>
          <w:b/>
          <w:bCs/>
          <w:sz w:val="26"/>
          <w:szCs w:val="26"/>
          <w:rtl/>
        </w:rPr>
        <w:t>5. אוצר מילים בהקשר. (4 נק')</w:t>
      </w:r>
    </w:p>
    <w:p>
      <w:pPr>
        <w:bidi/>
        <w:spacing w:before="0" w:after="20"/>
        <w:jc w:val="both"/>
      </w:pPr>
      <w:r>
        <w:rPr>
          <w:rtl/>
        </w:rPr>
        <w:t>א. «שמיתריו רפויים» , בשורות 1–3, – «רפויים» פירושו:</w:t>
      </w:r>
    </w:p>
    <w:p>
      <w:pPr>
        <w:bidi/>
        <w:spacing w:before="0" w:after="80"/>
        <w:jc w:val="both"/>
      </w:pPr>
      <w:r>
        <w:rPr>
          <w:b/>
          <w:bCs/>
          <w:color w:val="0F7A4F"/>
          <w:rtl/>
        </w:rPr>
        <w:t xml:space="preserve">   ✔ לא מתוחים, משוחררים</w:t>
      </w:r>
    </w:p>
    <w:p>
      <w:pPr>
        <w:bidi/>
        <w:spacing w:before="0" w:after="20"/>
        <w:jc w:val="both"/>
      </w:pPr>
      <w:r>
        <w:rPr>
          <w:rtl/>
        </w:rPr>
        <w:t>ב. «מיהרה להחזיר את הכלי למקומו, נבוכה» , בשורות 7–9, – «נבוכה» פירושו:</w:t>
      </w:r>
    </w:p>
    <w:p>
      <w:pPr>
        <w:bidi/>
        <w:spacing w:before="0" w:after="80"/>
        <w:jc w:val="both"/>
      </w:pPr>
      <w:r>
        <w:rPr>
          <w:b/>
          <w:bCs/>
          <w:color w:val="0F7A4F"/>
          <w:rtl/>
        </w:rPr>
        <w:t xml:space="preserve">   ✔ מתביישת ולא בנוח</w:t>
      </w:r>
    </w:p>
    <w:p>
      <w:pPr>
        <w:bidi/>
        <w:spacing w:before="160" w:after="60"/>
        <w:jc w:val="both"/>
      </w:pPr>
      <w:r>
        <w:rPr>
          <w:b/>
          <w:bCs/>
          <w:sz w:val="26"/>
          <w:szCs w:val="26"/>
          <w:rtl/>
        </w:rPr>
        <w:t>6. מבנה העלילה: כתבו באילו שורות נמצא כל חלק, ומה קורה בו.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חלק בעלילה</w:t>
            </w:r>
          </w:p>
        </w:tc>
        <w:tc>
          <w:tcPr>
            <w:tcW w:type="dxa" w:w="3326"/>
            <w:shd w:val="clear" w:color="auto" w:fill="9f1239"/>
          </w:tcPr>
          <w:p>
            <w:pPr>
              <w:bidi/>
              <w:spacing w:before="0" w:after="40"/>
              <w:jc w:val="both"/>
            </w:pPr>
            <w:r>
              <w:rPr>
                <w:b/>
                <w:bCs/>
                <w:color w:val="FFFFFF"/>
                <w:rtl/>
              </w:rPr>
              <w:t>שורות</w:t>
            </w:r>
          </w:p>
        </w:tc>
        <w:tc>
          <w:tcPr>
            <w:tcW w:type="dxa" w:w="3326"/>
            <w:shd w:val="clear" w:color="auto" w:fill="9f1239"/>
          </w:tcPr>
          <w:p>
            <w:pPr>
              <w:bidi/>
              <w:spacing w:before="0" w:after="40"/>
              <w:jc w:val="both"/>
            </w:pPr>
            <w:r>
              <w:rPr>
                <w:b/>
                <w:bCs/>
                <w:color w:val="FFFFFF"/>
                <w:rtl/>
              </w:rPr>
              <w:t>מה קורה?</w:t>
            </w:r>
          </w:p>
        </w:tc>
      </w:tr>
      <w:tr>
        <w:tc>
          <w:tcPr>
            <w:tcW w:type="dxa" w:w="3326"/>
          </w:tcPr>
          <w:p>
            <w:pPr>
              <w:bidi/>
              <w:spacing w:before="0" w:after="40"/>
              <w:jc w:val="both"/>
            </w:pPr>
            <w:r>
              <w:rPr>
                <w:rtl/>
              </w:rPr>
              <w:t>פתיחה</w:t>
            </w:r>
          </w:p>
        </w:tc>
        <w:tc>
          <w:tcPr>
            <w:tcW w:type="dxa" w:w="3326"/>
          </w:tcPr>
          <w:p>
            <w:pPr>
              <w:bidi/>
              <w:spacing w:before="0" w:after="40"/>
              <w:jc w:val="both"/>
            </w:pPr>
            <w:r>
              <w:rPr>
                <w:color w:val="0F7A4F"/>
                <w:rtl/>
              </w:rPr>
              <w:t>בשורות 1–6</w:t>
            </w:r>
          </w:p>
        </w:tc>
        <w:tc>
          <w:tcPr>
            <w:tcW w:type="dxa" w:w="3326"/>
          </w:tcPr>
          <w:p>
            <w:pPr>
              <w:bidi/>
              <w:spacing w:before="0" w:after="40"/>
              <w:jc w:val="both"/>
            </w:pPr>
            <w:r>
              <w:rPr>
                <w:color w:val="0F7A4F"/>
                <w:rtl/>
              </w:rPr>
              <w:t>הכינור נמצא בדירת סבא; תמר מגלה שסבא ניגן</w:t>
            </w:r>
          </w:p>
        </w:tc>
      </w:tr>
      <w:tr>
        <w:tc>
          <w:tcPr>
            <w:tcW w:type="dxa" w:w="3326"/>
          </w:tcPr>
          <w:p>
            <w:pPr>
              <w:bidi/>
              <w:spacing w:before="0" w:after="40"/>
              <w:jc w:val="both"/>
            </w:pPr>
            <w:r>
              <w:rPr>
                <w:rtl/>
              </w:rPr>
              <w:t>סיבוך</w:t>
            </w:r>
          </w:p>
        </w:tc>
        <w:tc>
          <w:tcPr>
            <w:tcW w:type="dxa" w:w="3326"/>
          </w:tcPr>
          <w:p>
            <w:pPr>
              <w:bidi/>
              <w:spacing w:before="0" w:after="40"/>
              <w:jc w:val="both"/>
            </w:pPr>
            <w:r>
              <w:rPr>
                <w:color w:val="0F7A4F"/>
                <w:rtl/>
              </w:rPr>
              <w:t>בשורות 7–12</w:t>
            </w:r>
          </w:p>
        </w:tc>
        <w:tc>
          <w:tcPr>
            <w:tcW w:type="dxa" w:w="3326"/>
          </w:tcPr>
          <w:p>
            <w:pPr>
              <w:bidi/>
              <w:spacing w:before="0" w:after="40"/>
              <w:jc w:val="both"/>
            </w:pPr>
            <w:r>
              <w:rPr>
                <w:color w:val="0F7A4F"/>
                <w:rtl/>
              </w:rPr>
              <w:t>הניסיון הראשון נכשל, והחברות לועגות לכינור</w:t>
            </w:r>
          </w:p>
        </w:tc>
      </w:tr>
      <w:tr>
        <w:tc>
          <w:tcPr>
            <w:tcW w:type="dxa" w:w="3326"/>
          </w:tcPr>
          <w:p>
            <w:pPr>
              <w:bidi/>
              <w:spacing w:before="0" w:after="40"/>
              <w:jc w:val="both"/>
            </w:pPr>
            <w:r>
              <w:rPr>
                <w:rtl/>
              </w:rPr>
              <w:t>שיא</w:t>
            </w:r>
          </w:p>
        </w:tc>
        <w:tc>
          <w:tcPr>
            <w:tcW w:type="dxa" w:w="3326"/>
          </w:tcPr>
          <w:p>
            <w:pPr>
              <w:bidi/>
              <w:spacing w:before="0" w:after="40"/>
              <w:jc w:val="both"/>
            </w:pPr>
            <w:r>
              <w:rPr>
                <w:color w:val="0F7A4F"/>
                <w:rtl/>
              </w:rPr>
              <w:t>בשורות 13–16 (אפשר גם בשורות 17–19)</w:t>
            </w:r>
          </w:p>
        </w:tc>
        <w:tc>
          <w:tcPr>
            <w:tcW w:type="dxa" w:w="3326"/>
          </w:tcPr>
          <w:p>
            <w:pPr>
              <w:bidi/>
              <w:spacing w:before="0" w:after="40"/>
              <w:jc w:val="both"/>
            </w:pPr>
            <w:r>
              <w:rPr>
                <w:color w:val="0F7A4F"/>
                <w:rtl/>
              </w:rPr>
              <w:t>סבתא מספרת שסבא ניגן ולא חזר לנגן לעולם</w:t>
            </w:r>
          </w:p>
        </w:tc>
      </w:tr>
      <w:tr>
        <w:tc>
          <w:tcPr>
            <w:tcW w:type="dxa" w:w="3326"/>
          </w:tcPr>
          <w:p>
            <w:pPr>
              <w:bidi/>
              <w:spacing w:before="0" w:after="40"/>
              <w:jc w:val="both"/>
            </w:pPr>
            <w:r>
              <w:rPr>
                <w:rtl/>
              </w:rPr>
              <w:t>התרה</w:t>
            </w:r>
          </w:p>
        </w:tc>
        <w:tc>
          <w:tcPr>
            <w:tcW w:type="dxa" w:w="3326"/>
          </w:tcPr>
          <w:p>
            <w:pPr>
              <w:bidi/>
              <w:spacing w:before="0" w:after="40"/>
              <w:jc w:val="both"/>
            </w:pPr>
            <w:r>
              <w:rPr>
                <w:color w:val="0F7A4F"/>
                <w:rtl/>
              </w:rPr>
              <w:t>בשורות 20–22</w:t>
            </w:r>
          </w:p>
        </w:tc>
        <w:tc>
          <w:tcPr>
            <w:tcW w:type="dxa" w:w="3326"/>
          </w:tcPr>
          <w:p>
            <w:pPr>
              <w:bidi/>
              <w:spacing w:before="0" w:after="40"/>
              <w:jc w:val="both"/>
            </w:pPr>
            <w:r>
              <w:rPr>
                <w:color w:val="0F7A4F"/>
                <w:rtl/>
              </w:rPr>
              <w:t>תמר מחליטה להירשם לחוג כינור</w:t>
            </w:r>
          </w:p>
        </w:tc>
      </w:tr>
      <w:tr>
        <w:tc>
          <w:tcPr>
            <w:tcW w:type="dxa" w:w="3326"/>
          </w:tcPr>
          <w:p>
            <w:pPr>
              <w:bidi/>
              <w:spacing w:before="0" w:after="40"/>
              <w:jc w:val="both"/>
            </w:pPr>
            <w:r>
              <w:rPr>
                <w:rtl/>
              </w:rPr>
              <w:t>סיום</w:t>
            </w:r>
          </w:p>
        </w:tc>
        <w:tc>
          <w:tcPr>
            <w:tcW w:type="dxa" w:w="3326"/>
          </w:tcPr>
          <w:p>
            <w:pPr>
              <w:bidi/>
              <w:spacing w:before="0" w:after="40"/>
              <w:jc w:val="both"/>
            </w:pPr>
            <w:r>
              <w:rPr>
                <w:color w:val="0F7A4F"/>
                <w:rtl/>
              </w:rPr>
              <w:t>בשורות 23–26</w:t>
            </w:r>
          </w:p>
        </w:tc>
        <w:tc>
          <w:tcPr>
            <w:tcW w:type="dxa" w:w="3326"/>
          </w:tcPr>
          <w:p>
            <w:pPr>
              <w:bidi/>
              <w:spacing w:before="0" w:after="40"/>
              <w:jc w:val="both"/>
            </w:pPr>
            <w:r>
              <w:rPr>
                <w:color w:val="0F7A4F"/>
                <w:rtl/>
              </w:rPr>
              <w:t>תמר מנגנת לפני המשפחה בחנוכה</w:t>
            </w:r>
          </w:p>
        </w:tc>
      </w:tr>
    </w:tbl>
    <w:p>
      <w:pPr>
        <w:bidi/>
        <w:spacing w:before="0" w:after="40"/>
        <w:jc w:val="both"/>
      </w:pPr>
    </w:p>
    <w:p>
      <w:pPr>
        <w:bidi/>
        <w:spacing w:before="160" w:after="60"/>
        <w:jc w:val="both"/>
      </w:pPr>
      <w:r>
        <w:rPr>
          <w:b/>
          <w:bCs/>
          <w:sz w:val="26"/>
          <w:szCs w:val="26"/>
          <w:rtl/>
        </w:rPr>
        <w:t>7. הערכה: האם לדעתכם תמר צדקה כשבחרה בכינור ולא בגיטרה «כמו כולם»? נמקו את עמדתכם בעזרת הסיפור ובעזרת ניסיון או דוגמה משלכם. (6 נק')</w:t>
      </w:r>
    </w:p>
    <w:p>
      <w:pPr>
        <w:bidi/>
        <w:spacing w:before="0" w:after="80"/>
        <w:jc w:val="both"/>
      </w:pPr>
      <w:r>
        <w:rPr>
          <w:color w:val="0F7A4F"/>
          <w:rtl/>
        </w:rPr>
        <w:t>תשובה אפשרית: עמדה ברורה (1); נימוק מן הסיפור, למשל הקשר לסבא או הצלחתה בסוף (3); נימוק מניסיון אישי או דוגמה (2).</w:t>
      </w:r>
    </w:p>
    <w:p>
      <w:pPr>
        <w:bidi/>
        <w:spacing w:before="160" w:after="80"/>
        <w:jc w:val="both"/>
      </w:pPr>
      <w:r>
        <w:rPr>
          <w:rFonts w:ascii="David" w:hAnsi="David" w:cs="David"/>
          <w:b/>
          <w:bCs/>
          <w:color w:val="9F1239"/>
          <w:sz w:val="32"/>
          <w:szCs w:val="32"/>
          <w:rtl/>
        </w:rPr>
        <w:t>חלק ב: ידע לשוני (35 נק')</w:t>
      </w:r>
    </w:p>
    <w:p>
      <w:pPr>
        <w:bidi/>
        <w:spacing w:before="160" w:after="60"/>
        <w:jc w:val="both"/>
      </w:pPr>
      <w:r>
        <w:rPr>
          <w:b/>
          <w:bCs/>
          <w:sz w:val="26"/>
          <w:szCs w:val="26"/>
          <w:rtl/>
        </w:rPr>
        <w:t>1. הפעלים לקוחים מן הסיפור, וכולם סבילים. כתבו את הבניין ואת הפועל הפעיל שמתאים לו (עבר, גוף «הוא»).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פועל</w:t>
            </w:r>
          </w:p>
        </w:tc>
        <w:tc>
          <w:tcPr>
            <w:tcW w:type="dxa" w:w="3326"/>
            <w:shd w:val="clear" w:color="auto" w:fill="9f1239"/>
          </w:tcPr>
          <w:p>
            <w:pPr>
              <w:bidi/>
              <w:spacing w:before="0" w:after="40"/>
              <w:jc w:val="both"/>
            </w:pPr>
            <w:r>
              <w:rPr>
                <w:b/>
                <w:bCs/>
                <w:color w:val="FFFFFF"/>
                <w:rtl/>
              </w:rPr>
              <w:t>בניין</w:t>
            </w:r>
          </w:p>
        </w:tc>
        <w:tc>
          <w:tcPr>
            <w:tcW w:type="dxa" w:w="3326"/>
            <w:shd w:val="clear" w:color="auto" w:fill="9f1239"/>
          </w:tcPr>
          <w:p>
            <w:pPr>
              <w:bidi/>
              <w:spacing w:before="0" w:after="40"/>
              <w:jc w:val="both"/>
            </w:pPr>
            <w:r>
              <w:rPr>
                <w:b/>
                <w:bCs/>
                <w:color w:val="FFFFFF"/>
                <w:rtl/>
              </w:rPr>
              <w:t>פועל פעיל מתאים</w:t>
            </w:r>
          </w:p>
        </w:tc>
      </w:tr>
      <w:tr>
        <w:tc>
          <w:tcPr>
            <w:tcW w:type="dxa" w:w="3326"/>
          </w:tcPr>
          <w:p>
            <w:pPr>
              <w:bidi/>
              <w:spacing w:before="0" w:after="40"/>
              <w:jc w:val="both"/>
            </w:pPr>
            <w:r>
              <w:rPr>
                <w:rtl/>
              </w:rPr>
              <w:t>נמצאה</w:t>
            </w:r>
          </w:p>
        </w:tc>
        <w:tc>
          <w:tcPr>
            <w:tcW w:type="dxa" w:w="3326"/>
          </w:tcPr>
          <w:p>
            <w:pPr>
              <w:bidi/>
              <w:spacing w:before="0" w:after="40"/>
              <w:jc w:val="both"/>
            </w:pPr>
            <w:r>
              <w:rPr>
                <w:color w:val="0F7A4F"/>
                <w:rtl/>
              </w:rPr>
              <w:t>נפעל</w:t>
            </w:r>
          </w:p>
        </w:tc>
        <w:tc>
          <w:tcPr>
            <w:tcW w:type="dxa" w:w="3326"/>
          </w:tcPr>
          <w:p>
            <w:pPr>
              <w:bidi/>
              <w:spacing w:before="0" w:after="40"/>
              <w:jc w:val="both"/>
            </w:pPr>
            <w:r>
              <w:rPr>
                <w:color w:val="0F7A4F"/>
                <w:rtl/>
              </w:rPr>
              <w:t>מצא</w:t>
            </w:r>
          </w:p>
        </w:tc>
      </w:tr>
      <w:tr>
        <w:tc>
          <w:tcPr>
            <w:tcW w:type="dxa" w:w="3326"/>
          </w:tcPr>
          <w:p>
            <w:pPr>
              <w:bidi/>
              <w:spacing w:before="0" w:after="40"/>
              <w:jc w:val="both"/>
            </w:pPr>
            <w:r>
              <w:rPr>
                <w:rtl/>
              </w:rPr>
              <w:t>נחרטו</w:t>
            </w:r>
          </w:p>
        </w:tc>
        <w:tc>
          <w:tcPr>
            <w:tcW w:type="dxa" w:w="3326"/>
          </w:tcPr>
          <w:p>
            <w:pPr>
              <w:bidi/>
              <w:spacing w:before="0" w:after="40"/>
              <w:jc w:val="both"/>
            </w:pPr>
            <w:r>
              <w:rPr>
                <w:color w:val="0F7A4F"/>
                <w:rtl/>
              </w:rPr>
              <w:t>נפעל</w:t>
            </w:r>
          </w:p>
        </w:tc>
        <w:tc>
          <w:tcPr>
            <w:tcW w:type="dxa" w:w="3326"/>
          </w:tcPr>
          <w:p>
            <w:pPr>
              <w:bidi/>
              <w:spacing w:before="0" w:after="40"/>
              <w:jc w:val="both"/>
            </w:pPr>
            <w:r>
              <w:rPr>
                <w:color w:val="0F7A4F"/>
                <w:rtl/>
              </w:rPr>
              <w:t>חרט</w:t>
            </w:r>
          </w:p>
        </w:tc>
      </w:tr>
      <w:tr>
        <w:tc>
          <w:tcPr>
            <w:tcW w:type="dxa" w:w="3326"/>
          </w:tcPr>
          <w:p>
            <w:pPr>
              <w:bidi/>
              <w:spacing w:before="0" w:after="40"/>
              <w:jc w:val="both"/>
            </w:pPr>
            <w:r>
              <w:rPr>
                <w:rtl/>
              </w:rPr>
              <w:t>גודלו</w:t>
            </w:r>
          </w:p>
        </w:tc>
        <w:tc>
          <w:tcPr>
            <w:tcW w:type="dxa" w:w="3326"/>
          </w:tcPr>
          <w:p>
            <w:pPr>
              <w:bidi/>
              <w:spacing w:before="0" w:after="40"/>
              <w:jc w:val="both"/>
            </w:pPr>
            <w:r>
              <w:rPr>
                <w:color w:val="0F7A4F"/>
                <w:rtl/>
              </w:rPr>
              <w:t>פֻּעל</w:t>
            </w:r>
          </w:p>
        </w:tc>
        <w:tc>
          <w:tcPr>
            <w:tcW w:type="dxa" w:w="3326"/>
          </w:tcPr>
          <w:p>
            <w:pPr>
              <w:bidi/>
              <w:spacing w:before="0" w:after="40"/>
              <w:jc w:val="both"/>
            </w:pPr>
            <w:r>
              <w:rPr>
                <w:color w:val="0F7A4F"/>
                <w:rtl/>
              </w:rPr>
              <w:t>גידל</w:t>
            </w:r>
          </w:p>
        </w:tc>
      </w:tr>
      <w:tr>
        <w:tc>
          <w:tcPr>
            <w:tcW w:type="dxa" w:w="3326"/>
          </w:tcPr>
          <w:p>
            <w:pPr>
              <w:bidi/>
              <w:spacing w:before="0" w:after="40"/>
              <w:jc w:val="both"/>
            </w:pPr>
            <w:r>
              <w:rPr>
                <w:rtl/>
              </w:rPr>
              <w:t>נפתרו</w:t>
            </w:r>
          </w:p>
        </w:tc>
        <w:tc>
          <w:tcPr>
            <w:tcW w:type="dxa" w:w="3326"/>
          </w:tcPr>
          <w:p>
            <w:pPr>
              <w:bidi/>
              <w:spacing w:before="0" w:after="40"/>
              <w:jc w:val="both"/>
            </w:pPr>
            <w:r>
              <w:rPr>
                <w:color w:val="0F7A4F"/>
                <w:rtl/>
              </w:rPr>
              <w:t>נפעל</w:t>
            </w:r>
          </w:p>
        </w:tc>
        <w:tc>
          <w:tcPr>
            <w:tcW w:type="dxa" w:w="3326"/>
          </w:tcPr>
          <w:p>
            <w:pPr>
              <w:bidi/>
              <w:spacing w:before="0" w:after="40"/>
              <w:jc w:val="both"/>
            </w:pPr>
            <w:r>
              <w:rPr>
                <w:color w:val="0F7A4F"/>
                <w:rtl/>
              </w:rPr>
              <w:t>פתר</w:t>
            </w:r>
          </w:p>
        </w:tc>
      </w:tr>
    </w:tbl>
    <w:p>
      <w:pPr>
        <w:bidi/>
        <w:spacing w:before="0" w:after="40"/>
        <w:jc w:val="both"/>
      </w:pPr>
    </w:p>
    <w:p>
      <w:pPr>
        <w:bidi/>
        <w:spacing w:before="160" w:after="60"/>
        <w:jc w:val="both"/>
      </w:pPr>
      <w:r>
        <w:rPr>
          <w:b/>
          <w:bCs/>
          <w:sz w:val="26"/>
          <w:szCs w:val="26"/>
          <w:rtl/>
        </w:rPr>
        <w:t>2. הפכו את המשפטים לסביל. (6 נק')</w:t>
      </w:r>
    </w:p>
    <w:p>
      <w:pPr>
        <w:bidi/>
        <w:spacing w:before="0" w:after="40"/>
        <w:jc w:val="both"/>
      </w:pPr>
      <w:r>
        <w:rPr>
          <w:rtl/>
        </w:rPr>
        <w:t>א. סבא גידל עגבניות במרפסת. ← העגבניות גודלו במרפסת על ידי סבא.</w:t>
      </w:r>
    </w:p>
    <w:p>
      <w:pPr>
        <w:bidi/>
        <w:spacing w:before="0" w:after="40"/>
        <w:jc w:val="both"/>
      </w:pPr>
      <w:r>
        <w:rPr>
          <w:rtl/>
        </w:rPr>
        <w:t>ב. המורה הזמינה את תמר לחוג. ← תמר הוזמנה לחוג על ידי המורה.</w:t>
      </w:r>
    </w:p>
    <w:p>
      <w:pPr>
        <w:bidi/>
        <w:spacing w:before="0" w:after="40"/>
        <w:jc w:val="both"/>
      </w:pPr>
      <w:r>
        <w:rPr>
          <w:rtl/>
        </w:rPr>
        <w:t>ג. אבא פינה את הדירה. ← הדירה פונתה על ידי אבא.</w:t>
      </w:r>
    </w:p>
    <w:p>
      <w:pPr>
        <w:bidi/>
        <w:spacing w:before="160" w:after="60"/>
        <w:jc w:val="both"/>
      </w:pPr>
      <w:r>
        <w:rPr>
          <w:b/>
          <w:bCs/>
          <w:sz w:val="26"/>
          <w:szCs w:val="26"/>
          <w:rtl/>
        </w:rPr>
        <w:t>3. נתחו את המשפט: «בלילה הוציאה תמר בזהירות את הכינור הישן מן הקופסה.» (7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9f1239"/>
          </w:tcPr>
          <w:p>
            <w:pPr>
              <w:bidi/>
              <w:spacing w:before="0" w:after="40"/>
              <w:jc w:val="both"/>
            </w:pPr>
            <w:r>
              <w:rPr>
                <w:b/>
                <w:bCs/>
                <w:color w:val="FFFFFF"/>
                <w:rtl/>
              </w:rPr>
              <w:t>חלק</w:t>
            </w:r>
          </w:p>
        </w:tc>
        <w:tc>
          <w:tcPr>
            <w:tcW w:type="dxa" w:w="4989"/>
            <w:shd w:val="clear" w:color="auto" w:fill="9f1239"/>
          </w:tcPr>
          <w:p>
            <w:pPr>
              <w:bidi/>
              <w:spacing w:before="0" w:after="40"/>
              <w:jc w:val="both"/>
            </w:pPr>
            <w:r>
              <w:rPr>
                <w:b/>
                <w:bCs/>
                <w:color w:val="FFFFFF"/>
                <w:rtl/>
              </w:rPr>
              <w:t>מה כתוב במשפט</w:t>
            </w:r>
          </w:p>
        </w:tc>
      </w:tr>
      <w:tr>
        <w:tc>
          <w:tcPr>
            <w:tcW w:type="dxa" w:w="4989"/>
          </w:tcPr>
          <w:p>
            <w:pPr>
              <w:bidi/>
              <w:spacing w:before="0" w:after="40"/>
              <w:jc w:val="both"/>
            </w:pPr>
            <w:r>
              <w:rPr>
                <w:rtl/>
              </w:rPr>
              <w:t>נושא</w:t>
            </w:r>
          </w:p>
        </w:tc>
        <w:tc>
          <w:tcPr>
            <w:tcW w:type="dxa" w:w="4989"/>
          </w:tcPr>
          <w:p>
            <w:pPr>
              <w:bidi/>
              <w:spacing w:before="0" w:after="40"/>
              <w:jc w:val="both"/>
            </w:pPr>
            <w:r>
              <w:rPr>
                <w:color w:val="0F7A4F"/>
                <w:rtl/>
              </w:rPr>
              <w:t>תמר</w:t>
            </w:r>
          </w:p>
        </w:tc>
      </w:tr>
      <w:tr>
        <w:tc>
          <w:tcPr>
            <w:tcW w:type="dxa" w:w="4989"/>
          </w:tcPr>
          <w:p>
            <w:pPr>
              <w:bidi/>
              <w:spacing w:before="0" w:after="40"/>
              <w:jc w:val="both"/>
            </w:pPr>
            <w:r>
              <w:rPr>
                <w:rtl/>
              </w:rPr>
              <w:t>נשוא</w:t>
            </w:r>
          </w:p>
        </w:tc>
        <w:tc>
          <w:tcPr>
            <w:tcW w:type="dxa" w:w="4989"/>
          </w:tcPr>
          <w:p>
            <w:pPr>
              <w:bidi/>
              <w:spacing w:before="0" w:after="40"/>
              <w:jc w:val="both"/>
            </w:pPr>
            <w:r>
              <w:rPr>
                <w:color w:val="0F7A4F"/>
                <w:rtl/>
              </w:rPr>
              <w:t>הוציאה</w:t>
            </w:r>
          </w:p>
        </w:tc>
      </w:tr>
      <w:tr>
        <w:tc>
          <w:tcPr>
            <w:tcW w:type="dxa" w:w="4989"/>
          </w:tcPr>
          <w:p>
            <w:pPr>
              <w:bidi/>
              <w:spacing w:before="0" w:after="40"/>
              <w:jc w:val="both"/>
            </w:pPr>
            <w:r>
              <w:rPr>
                <w:rtl/>
              </w:rPr>
              <w:t>מושא</w:t>
            </w:r>
          </w:p>
        </w:tc>
        <w:tc>
          <w:tcPr>
            <w:tcW w:type="dxa" w:w="4989"/>
          </w:tcPr>
          <w:p>
            <w:pPr>
              <w:bidi/>
              <w:spacing w:before="0" w:after="40"/>
              <w:jc w:val="both"/>
            </w:pPr>
            <w:r>
              <w:rPr>
                <w:color w:val="0F7A4F"/>
                <w:rtl/>
              </w:rPr>
              <w:t>את הכינור</w:t>
            </w:r>
          </w:p>
        </w:tc>
      </w:tr>
      <w:tr>
        <w:tc>
          <w:tcPr>
            <w:tcW w:type="dxa" w:w="4989"/>
          </w:tcPr>
          <w:p>
            <w:pPr>
              <w:bidi/>
              <w:spacing w:before="0" w:after="40"/>
              <w:jc w:val="both"/>
            </w:pPr>
            <w:r>
              <w:rPr>
                <w:rtl/>
              </w:rPr>
              <w:t>לוואי</w:t>
            </w:r>
          </w:p>
        </w:tc>
        <w:tc>
          <w:tcPr>
            <w:tcW w:type="dxa" w:w="4989"/>
          </w:tcPr>
          <w:p>
            <w:pPr>
              <w:bidi/>
              <w:spacing w:before="0" w:after="40"/>
              <w:jc w:val="both"/>
            </w:pPr>
            <w:r>
              <w:rPr>
                <w:color w:val="0F7A4F"/>
                <w:rtl/>
              </w:rPr>
              <w:t>הישן</w:t>
            </w:r>
          </w:p>
        </w:tc>
      </w:tr>
      <w:tr>
        <w:tc>
          <w:tcPr>
            <w:tcW w:type="dxa" w:w="4989"/>
          </w:tcPr>
          <w:p>
            <w:pPr>
              <w:bidi/>
              <w:spacing w:before="0" w:after="40"/>
              <w:jc w:val="both"/>
            </w:pPr>
            <w:r>
              <w:rPr>
                <w:rtl/>
              </w:rPr>
              <w:t>תיאור זמן</w:t>
            </w:r>
          </w:p>
        </w:tc>
        <w:tc>
          <w:tcPr>
            <w:tcW w:type="dxa" w:w="4989"/>
          </w:tcPr>
          <w:p>
            <w:pPr>
              <w:bidi/>
              <w:spacing w:before="0" w:after="40"/>
              <w:jc w:val="both"/>
            </w:pPr>
            <w:r>
              <w:rPr>
                <w:color w:val="0F7A4F"/>
                <w:rtl/>
              </w:rPr>
              <w:t>בלילה</w:t>
            </w:r>
          </w:p>
        </w:tc>
      </w:tr>
      <w:tr>
        <w:tc>
          <w:tcPr>
            <w:tcW w:type="dxa" w:w="4989"/>
          </w:tcPr>
          <w:p>
            <w:pPr>
              <w:bidi/>
              <w:spacing w:before="0" w:after="40"/>
              <w:jc w:val="both"/>
            </w:pPr>
            <w:r>
              <w:rPr>
                <w:rtl/>
              </w:rPr>
              <w:t>תיאור אופן</w:t>
            </w:r>
          </w:p>
        </w:tc>
        <w:tc>
          <w:tcPr>
            <w:tcW w:type="dxa" w:w="4989"/>
          </w:tcPr>
          <w:p>
            <w:pPr>
              <w:bidi/>
              <w:spacing w:before="0" w:after="40"/>
              <w:jc w:val="both"/>
            </w:pPr>
            <w:r>
              <w:rPr>
                <w:color w:val="0F7A4F"/>
                <w:rtl/>
              </w:rPr>
              <w:t>בזהירות</w:t>
            </w:r>
          </w:p>
        </w:tc>
      </w:tr>
      <w:tr>
        <w:tc>
          <w:tcPr>
            <w:tcW w:type="dxa" w:w="4989"/>
          </w:tcPr>
          <w:p>
            <w:pPr>
              <w:bidi/>
              <w:spacing w:before="0" w:after="40"/>
              <w:jc w:val="both"/>
            </w:pPr>
            <w:r>
              <w:rPr>
                <w:rtl/>
              </w:rPr>
              <w:t>תיאור מקום</w:t>
            </w:r>
          </w:p>
        </w:tc>
        <w:tc>
          <w:tcPr>
            <w:tcW w:type="dxa" w:w="4989"/>
          </w:tcPr>
          <w:p>
            <w:pPr>
              <w:bidi/>
              <w:spacing w:before="0" w:after="40"/>
              <w:jc w:val="both"/>
            </w:pPr>
            <w:r>
              <w:rPr>
                <w:color w:val="0F7A4F"/>
                <w:rtl/>
              </w:rPr>
              <w:t>מן הקופסה</w:t>
            </w:r>
          </w:p>
        </w:tc>
      </w:tr>
    </w:tbl>
    <w:p>
      <w:pPr>
        <w:bidi/>
        <w:spacing w:before="0" w:after="40"/>
        <w:jc w:val="both"/>
      </w:pPr>
    </w:p>
    <w:p>
      <w:pPr>
        <w:bidi/>
        <w:spacing w:before="160" w:after="60"/>
        <w:jc w:val="both"/>
      </w:pPr>
      <w:r>
        <w:rPr>
          <w:b/>
          <w:bCs/>
          <w:sz w:val="26"/>
          <w:szCs w:val="26"/>
          <w:rtl/>
        </w:rPr>
        <w:t>4. קבעו את סוג המשפט והסבירו.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9f1239"/>
          </w:tcPr>
          <w:p>
            <w:pPr>
              <w:bidi/>
              <w:spacing w:before="0" w:after="40"/>
              <w:jc w:val="both"/>
            </w:pPr>
            <w:r>
              <w:rPr>
                <w:b/>
                <w:bCs/>
                <w:color w:val="FFFFFF"/>
                <w:rtl/>
              </w:rPr>
              <w:t>משפט</w:t>
            </w:r>
          </w:p>
        </w:tc>
        <w:tc>
          <w:tcPr>
            <w:tcW w:type="dxa" w:w="3326"/>
            <w:shd w:val="clear" w:color="auto" w:fill="9f1239"/>
          </w:tcPr>
          <w:p>
            <w:pPr>
              <w:bidi/>
              <w:spacing w:before="0" w:after="40"/>
              <w:jc w:val="both"/>
            </w:pPr>
            <w:r>
              <w:rPr>
                <w:b/>
                <w:bCs/>
                <w:color w:val="FFFFFF"/>
                <w:rtl/>
              </w:rPr>
              <w:t>סוג</w:t>
            </w:r>
          </w:p>
        </w:tc>
        <w:tc>
          <w:tcPr>
            <w:tcW w:type="dxa" w:w="3326"/>
            <w:shd w:val="clear" w:color="auto" w:fill="9f1239"/>
          </w:tcPr>
          <w:p>
            <w:pPr>
              <w:bidi/>
              <w:spacing w:before="0" w:after="40"/>
              <w:jc w:val="both"/>
            </w:pPr>
            <w:r>
              <w:rPr>
                <w:b/>
                <w:bCs/>
                <w:color w:val="FFFFFF"/>
                <w:rtl/>
              </w:rPr>
              <w:t>הסבר</w:t>
            </w:r>
          </w:p>
        </w:tc>
      </w:tr>
      <w:tr>
        <w:tc>
          <w:tcPr>
            <w:tcW w:type="dxa" w:w="3326"/>
          </w:tcPr>
          <w:p>
            <w:pPr>
              <w:bidi/>
              <w:spacing w:before="0" w:after="40"/>
              <w:jc w:val="both"/>
            </w:pPr>
            <w:r>
              <w:rPr>
                <w:rtl/>
              </w:rPr>
              <w:t>תמר צחקה איתן, אבל הרגישה שבגדה במשהו.</w:t>
            </w:r>
          </w:p>
        </w:tc>
        <w:tc>
          <w:tcPr>
            <w:tcW w:type="dxa" w:w="3326"/>
          </w:tcPr>
          <w:p>
            <w:pPr>
              <w:bidi/>
              <w:spacing w:before="0" w:after="40"/>
              <w:jc w:val="both"/>
            </w:pPr>
            <w:r>
              <w:rPr>
                <w:color w:val="0F7A4F"/>
                <w:rtl/>
              </w:rPr>
              <w:t>מאוחה</w:t>
            </w:r>
          </w:p>
        </w:tc>
        <w:tc>
          <w:tcPr>
            <w:tcW w:type="dxa" w:w="3326"/>
          </w:tcPr>
          <w:p>
            <w:pPr>
              <w:bidi/>
              <w:spacing w:before="0" w:after="40"/>
              <w:jc w:val="both"/>
            </w:pPr>
            <w:r>
              <w:rPr>
                <w:color w:val="0F7A4F"/>
                <w:rtl/>
              </w:rPr>
              <w:t>«אבל» מחברת שני משפטים שכל אחד מהם יכול לעמוד בפני עצמו (בחלק השני יש גם פסוקית «שבגדה במשהו»)</w:t>
            </w:r>
          </w:p>
        </w:tc>
      </w:tr>
      <w:tr>
        <w:tc>
          <w:tcPr>
            <w:tcW w:type="dxa" w:w="3326"/>
          </w:tcPr>
          <w:p>
            <w:pPr>
              <w:bidi/>
              <w:spacing w:before="0" w:after="40"/>
              <w:jc w:val="both"/>
            </w:pPr>
            <w:r>
              <w:rPr>
                <w:rtl/>
              </w:rPr>
              <w:t>כשכולם נרדמו, הוציאה תמר את הכינור.</w:t>
            </w:r>
          </w:p>
        </w:tc>
        <w:tc>
          <w:tcPr>
            <w:tcW w:type="dxa" w:w="3326"/>
          </w:tcPr>
          <w:p>
            <w:pPr>
              <w:bidi/>
              <w:spacing w:before="0" w:after="40"/>
              <w:jc w:val="both"/>
            </w:pPr>
            <w:r>
              <w:rPr>
                <w:color w:val="0F7A4F"/>
                <w:rtl/>
              </w:rPr>
              <w:t>מורכב</w:t>
            </w:r>
          </w:p>
        </w:tc>
        <w:tc>
          <w:tcPr>
            <w:tcW w:type="dxa" w:w="3326"/>
          </w:tcPr>
          <w:p>
            <w:pPr>
              <w:bidi/>
              <w:spacing w:before="0" w:after="40"/>
              <w:jc w:val="both"/>
            </w:pPr>
            <w:r>
              <w:rPr>
                <w:color w:val="0F7A4F"/>
                <w:rtl/>
              </w:rPr>
              <w:t>הפסוקית «כשכולם נרדמו» אינה עומדת בפני עצמה</w:t>
            </w:r>
          </w:p>
        </w:tc>
      </w:tr>
      <w:tr>
        <w:tc>
          <w:tcPr>
            <w:tcW w:type="dxa" w:w="3326"/>
          </w:tcPr>
          <w:p>
            <w:pPr>
              <w:bidi/>
              <w:spacing w:before="0" w:after="40"/>
              <w:jc w:val="both"/>
            </w:pPr>
            <w:r>
              <w:rPr>
                <w:rtl/>
              </w:rPr>
              <w:t>הצליל שיצא דמה ליללה של חתול.</w:t>
            </w:r>
          </w:p>
        </w:tc>
        <w:tc>
          <w:tcPr>
            <w:tcW w:type="dxa" w:w="3326"/>
          </w:tcPr>
          <w:p>
            <w:pPr>
              <w:bidi/>
              <w:spacing w:before="0" w:after="40"/>
              <w:jc w:val="both"/>
            </w:pPr>
            <w:r>
              <w:rPr>
                <w:color w:val="0F7A4F"/>
                <w:rtl/>
              </w:rPr>
              <w:t>מורכב</w:t>
            </w:r>
          </w:p>
        </w:tc>
        <w:tc>
          <w:tcPr>
            <w:tcW w:type="dxa" w:w="3326"/>
          </w:tcPr>
          <w:p>
            <w:pPr>
              <w:bidi/>
              <w:spacing w:before="0" w:after="40"/>
              <w:jc w:val="both"/>
            </w:pPr>
            <w:r>
              <w:rPr>
                <w:color w:val="0F7A4F"/>
                <w:rtl/>
              </w:rPr>
              <w:t>הפסוקית «שיצא» מוסיפה פרט על הצליל</w:t>
            </w:r>
          </w:p>
        </w:tc>
      </w:tr>
      <w:tr>
        <w:tc>
          <w:tcPr>
            <w:tcW w:type="dxa" w:w="3326"/>
          </w:tcPr>
          <w:p>
            <w:pPr>
              <w:bidi/>
              <w:spacing w:before="0" w:after="40"/>
              <w:jc w:val="both"/>
            </w:pPr>
            <w:r>
              <w:rPr>
                <w:rtl/>
              </w:rPr>
              <w:t>סבתא שתקה רגע.</w:t>
            </w:r>
          </w:p>
        </w:tc>
        <w:tc>
          <w:tcPr>
            <w:tcW w:type="dxa" w:w="3326"/>
          </w:tcPr>
          <w:p>
            <w:pPr>
              <w:bidi/>
              <w:spacing w:before="0" w:after="40"/>
              <w:jc w:val="both"/>
            </w:pPr>
            <w:r>
              <w:rPr>
                <w:color w:val="0F7A4F"/>
                <w:rtl/>
              </w:rPr>
              <w:t>פשוט</w:t>
            </w:r>
          </w:p>
        </w:tc>
        <w:tc>
          <w:tcPr>
            <w:tcW w:type="dxa" w:w="3326"/>
          </w:tcPr>
          <w:p>
            <w:pPr>
              <w:bidi/>
              <w:spacing w:before="0" w:after="40"/>
              <w:jc w:val="both"/>
            </w:pPr>
            <w:r>
              <w:rPr>
                <w:color w:val="0F7A4F"/>
                <w:rtl/>
              </w:rPr>
              <w:t>נושא אחד ונשוא אחד</w:t>
            </w:r>
          </w:p>
        </w:tc>
      </w:tr>
    </w:tbl>
    <w:p>
      <w:pPr>
        <w:bidi/>
        <w:spacing w:before="0" w:after="40"/>
        <w:jc w:val="both"/>
      </w:pPr>
    </w:p>
    <w:p>
      <w:pPr>
        <w:bidi/>
        <w:spacing w:before="160" w:after="60"/>
        <w:jc w:val="both"/>
      </w:pPr>
      <w:r>
        <w:rPr>
          <w:b/>
          <w:bCs/>
          <w:sz w:val="26"/>
          <w:szCs w:val="26"/>
          <w:rtl/>
        </w:rPr>
        <w:t>5. השלימו לפי ההוראה. (6 נק')</w:t>
      </w:r>
    </w:p>
    <w:p>
      <w:pPr>
        <w:bidi/>
        <w:spacing w:before="0" w:after="40"/>
        <w:jc w:val="both"/>
      </w:pPr>
      <w:r>
        <w:rPr>
          <w:rtl/>
        </w:rPr>
        <w:t>א. מן השורש נ־ג־ן, במשקל קַטָּל (בעל מקצוע): נגן</w:t>
      </w:r>
    </w:p>
    <w:p>
      <w:pPr>
        <w:bidi/>
        <w:spacing w:before="0" w:after="40"/>
        <w:jc w:val="both"/>
      </w:pPr>
      <w:r>
        <w:rPr>
          <w:rtl/>
        </w:rPr>
        <w:t>ב. מן השורש ז־מ־ר, במשקל מַקְטֵלָה (כלי): מזמרה</w:t>
      </w:r>
    </w:p>
    <w:p>
      <w:pPr>
        <w:bidi/>
        <w:spacing w:before="0" w:after="40"/>
        <w:jc w:val="both"/>
      </w:pPr>
      <w:r>
        <w:rPr>
          <w:rtl/>
        </w:rPr>
        <w:t>ג. תמר התאמנה חמישה (5) ימים בשבוע.</w:t>
      </w:r>
    </w:p>
    <w:p>
      <w:pPr>
        <w:bidi/>
        <w:spacing w:before="0" w:after="40"/>
        <w:jc w:val="both"/>
      </w:pPr>
      <w:r>
        <w:rPr>
          <w:rtl/>
        </w:rPr>
        <w:t>ד. השכן גר בקומה השלישית (3).</w:t>
      </w:r>
    </w:p>
    <w:p>
      <w:pPr>
        <w:bidi/>
        <w:spacing w:before="160" w:after="80"/>
        <w:jc w:val="both"/>
      </w:pPr>
      <w:r>
        <w:rPr>
          <w:rFonts w:ascii="David" w:hAnsi="David" w:cs="David"/>
          <w:b/>
          <w:bCs/>
          <w:color w:val="9F1239"/>
          <w:sz w:val="32"/>
          <w:szCs w:val="32"/>
          <w:rtl/>
        </w:rPr>
        <w:t>חלק ג: הבעה בכתב (25 נק')</w:t>
      </w:r>
    </w:p>
    <w:p>
      <w:pPr>
        <w:bidi/>
        <w:spacing w:before="160" w:after="60"/>
        <w:jc w:val="both"/>
      </w:pPr>
      <w:r>
        <w:rPr>
          <w:b/>
          <w:bCs/>
          <w:sz w:val="26"/>
          <w:szCs w:val="26"/>
          <w:rtl/>
        </w:rPr>
        <w:t>1. יש הטוענים שכל תלמיד צריך ללמוד לנגן על כלי נגינה בבית הספר. כתבו מאמר דעה (15–18 שורות). שימו לב: פתחו בהצגת הנושא ובעמדה ברורה; כתבו שלושה נימוקים מפותחים; הציגו טענה נגדית והשיבו עליה; חלקו לפסקאות והשתמשו במילות קישור ובמשפטים מאוחים ומורכבים; סיימו בסיכום ובהמלצה. (25 נק')</w:t>
      </w:r>
    </w:p>
    <w:p>
      <w:pPr>
        <w:bidi/>
        <w:spacing w:before="0" w:after="80"/>
        <w:jc w:val="both"/>
      </w:pPr>
      <w:r>
        <w:rPr>
          <w:color w:val="0F7A4F"/>
          <w:rtl/>
        </w:rPr>
        <w:t>תשובה אפשרית: מחוון: פתיחה ועמדה ברורה (3); שלושה נימוקים מפותחים (8); טענה נגדית והפרכה (5); מבנה פסקאות ומילות קישור (4); לשון, כתיב ופיסוק (5).</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