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🎯 מבחן מסכם בלשון – כיתה ז' · רמה גבוהה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המאמר פעמיים לפני שתענו.</w:t>
      </w:r>
    </w:p>
    <w:p>
      <w:pPr>
        <w:bidi/>
        <w:spacing w:before="200" w:after="80"/>
        <w:jc w:val="both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א: הבנת הנקרא (40 נק')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שפה של פרצופים קטנים*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מי שקורא היום הודעות בקבוצה של כיתה יגלה בהן הרבה יותר ממילים: פרצופים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צוחקים, לבבות, כפיים מוחאות ואגודלים מורמים. יש אפילו הודעות שאין בהן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מילה אחת. הסמלים הקטנים האלה, האימוג'י, נכנסו לשיחה שלנו כמעט בלי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שהרגשנו. השאלה שמעסיקה מורים, הורים וחוקרי לשון היא אם הם מעשירים את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השפה או דווקא מדלדלים אותה.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המודאגים טוענים שהאימוג'י מאפשרים לנו להתחמק ממאמץ. במקום לחפש את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המילה המדויקת שמתארת את מה שאנחנו מרגישים – מאוכזבים, נבוכים,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מופתעים או נעלבים – אנחנו בוחרים פרצוף אחד שמתאים לכולם. לדבריהם, מי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שמתרגל לכך עלול לגלות שאוצר המילים שלו מצטמצם, ושקשה לו לבטא רגשות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מורכבים בכתב, למשל בחיבור או במכתב.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חוקרים אחרים רואים את הדברים אחרת. לטענתם, האימוג'י אינם באים במקום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המילים אלא משלימים אותן. כשאנחנו מדברים פנים אל פנים, הטון, הבעות הפנים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ותנועות הידיים מוסיפים למילים משמעות. בהודעה כתובה כל אלה חסרים, ולכן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משפט תמים כמו «נו, באמת» עלול להתפרש כעלבון. פרצוף מחייך קטן בסוף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ההודעה מבהיר שמדובר בהלצה, וכך הוא מונע אי־הבנות ואפילו ריבים.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יש גם מי שמזכירים שהשימוש בסימנים אינו חדש כלל. כבר לפני אלפי שנים כתבו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בני אדם בציורים, וגם היום אנחנו נעזרים בתמרורים ובשלטים שאין בהם מילים,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ומבינים אותם בלי קושי. לדעתם, האימוג'י הם עוד כלי בארגז הכלים של השפה –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לא תחליף לה. מי שמשתמש בפטיש לא שוכח בגלל זה איך משתמשים במברג.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אף על פי שהוויכוח לא הוכרע, נראה שרוב החוקרים מסכימים על דבר אחד: מה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שחשוב הוא ההקשר. בהודעה לחבר, אימוג'י יכול להוסיף חום והומור. לעומת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זאת, במכתב למוסד, בעבודה לבית הספר או בפנייה לאדם שאיננו מכירים, הוא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עלול להיראות לא רציני. מי שיודע לעבור בין המצבים – לכתוב בחופשיות לחבריו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ובלשון מוקפדת כשצריך – מראה שליטה טובה בשפה, ולא חולשה.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אולי השאלה איננה אם האימוג'י טובים או רעים, אלא אם אנחנו בוחרים בהם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מתוך הרגל או מתוך החלטה. פרצוף צוחק יכול לחסוך מילים ולהוסיף צבע, אבל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הוא לא יכול לכתוב בשבילנו את המכתב החשוב הבא.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ערן הרפז, 2021.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 לפי המאמר. (6 נק')</w:t>
      </w:r>
    </w:p>
    <w:p>
      <w:pPr>
        <w:bidi/>
        <w:spacing w:before="0" w:after="20"/>
        <w:jc w:val="both"/>
      </w:pPr>
      <w:r>
        <w:rPr>
          <w:rtl/>
        </w:rPr>
        <w:t>א. לפי מה שכתוב בשורות 6–10, ממה חוששים המודאגים?</w:t>
      </w:r>
    </w:p>
    <w:p>
      <w:pPr>
        <w:bidi/>
        <w:spacing w:before="0" w:after="80"/>
        <w:jc w:val="both"/>
      </w:pPr>
      <w:r>
        <w:rPr>
          <w:rtl/>
        </w:rPr>
        <w:t xml:space="preserve">   ○ שהטלפונים יתקלקלו      ○ שאוצר המילים של הכותבים יצטמצם      ○ שהמורים לא יבינו את ההודעות      ○ שההודעות יהיו ארוכות מדי</w:t>
      </w:r>
    </w:p>
    <w:p>
      <w:pPr>
        <w:bidi/>
        <w:spacing w:before="0" w:after="20"/>
        <w:jc w:val="both"/>
      </w:pPr>
      <w:r>
        <w:rPr>
          <w:rtl/>
        </w:rPr>
        <w:t>ב. לפי מה שכתוב בשורות 11–15, מה חסר בהודעה כתובה?</w:t>
      </w:r>
    </w:p>
    <w:p>
      <w:pPr>
        <w:bidi/>
        <w:spacing w:before="0" w:after="80"/>
        <w:jc w:val="both"/>
      </w:pPr>
      <w:r>
        <w:rPr>
          <w:rtl/>
        </w:rPr>
        <w:t xml:space="preserve">   ○ מילות קישור      ○ סימני פיסוק      ○ הטון והבעות הפנים      ○ שמות של אנשים</w:t>
      </w:r>
    </w:p>
    <w:p>
      <w:pPr>
        <w:bidi/>
        <w:spacing w:before="0" w:after="20"/>
        <w:jc w:val="both"/>
      </w:pPr>
      <w:r>
        <w:rPr>
          <w:rtl/>
        </w:rPr>
        <w:t>ג. באיזו דוגמה משתמשים בשורות 16–19 כדי להראות שהשימוש בסימנים אינו חדש?</w:t>
      </w:r>
    </w:p>
    <w:p>
      <w:pPr>
        <w:bidi/>
        <w:spacing w:before="0" w:after="80"/>
        <w:jc w:val="both"/>
      </w:pPr>
      <w:r>
        <w:rPr>
          <w:rtl/>
        </w:rPr>
        <w:t xml:space="preserve">   ○ תמרורים ושלטים      ○ מכתבים רשמיים      ○ ספרי לימוד      ○ שירים ישנים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היסק: בשורות 11–15 נטען שהמשפט «נו, באמת» עלול להתפרש כעלבון. הסבירו מדוע זה יכול לקרות בהודעה כתובה ולא בשיחה פנים אל פנים, ומה תפקיד הפרצוף המחייך לפי החוקרים.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השוו בין שתי העמדות שבמאמר (בשורות 6–15).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המודאגים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החוקרים האחרים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הם טוענים?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על מה הם מבססים את הטענה?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איזו דוגמה מובאת?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בהקשר: מה פירוש הביטוי לפי המאמר? (4 נק')</w:t>
      </w:r>
    </w:p>
    <w:p>
      <w:pPr>
        <w:bidi/>
        <w:spacing w:before="0" w:after="20"/>
        <w:jc w:val="both"/>
      </w:pPr>
      <w:r>
        <w:rPr>
          <w:rtl/>
        </w:rPr>
        <w:t>א. «מעשירים את השפה או דווקא מדלדלים אותה» – «מדלדלים»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מקשטים      ○ מאריכים      ○ מחלישים ומרוששים      ○ מתרגמים</w:t>
      </w:r>
    </w:p>
    <w:p>
      <w:pPr>
        <w:bidi/>
        <w:spacing w:before="0" w:after="20"/>
        <w:jc w:val="both"/>
      </w:pPr>
      <w:r>
        <w:rPr>
          <w:rtl/>
        </w:rPr>
        <w:t>ב. «הוויכוח לא הוכרע» – פירוש הביטוי:</w:t>
      </w:r>
    </w:p>
    <w:p>
      <w:pPr>
        <w:bidi/>
        <w:spacing w:before="0" w:after="80"/>
        <w:jc w:val="both"/>
      </w:pPr>
      <w:r>
        <w:rPr>
          <w:rtl/>
        </w:rPr>
        <w:t xml:space="preserve">   ○ הוויכוח לא התחיל      ○ לא הוחלט מי צודק      ○ הוויכוח היה רועש      ○ כולם הסכימו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מבנה המאמר והקשרים בין חלקיו. (6 נק')</w:t>
      </w:r>
    </w:p>
    <w:p>
      <w:pPr>
        <w:bidi/>
        <w:spacing w:before="0" w:after="20"/>
        <w:jc w:val="both"/>
      </w:pPr>
      <w:r>
        <w:rPr>
          <w:rtl/>
        </w:rPr>
        <w:t>א. מה היחס בין מה שכתוב בשורות 6–10 לבין מה שכתוב בשורות 11–15?</w:t>
      </w:r>
    </w:p>
    <w:p>
      <w:pPr>
        <w:bidi/>
        <w:spacing w:before="0" w:after="80"/>
        <w:jc w:val="both"/>
      </w:pPr>
      <w:r>
        <w:rPr>
          <w:rtl/>
        </w:rPr>
        <w:t xml:space="preserve">   ○ הוספה – עוד נימוק לאותה עמדה      ○ ניגוד – עמדה מול עמדה      ○ זמן – מה קרה קודם ומה אחר כך      ○ תנאי</w:t>
      </w:r>
    </w:p>
    <w:p>
      <w:pPr>
        <w:bidi/>
        <w:spacing w:before="0" w:after="20"/>
        <w:jc w:val="both"/>
      </w:pPr>
      <w:r>
        <w:rPr>
          <w:rtl/>
        </w:rPr>
        <w:t>ב. מה תפקיד הקטע בשורות 16–19?</w:t>
      </w:r>
    </w:p>
    <w:p>
      <w:pPr>
        <w:bidi/>
        <w:spacing w:before="0" w:after="80"/>
        <w:jc w:val="both"/>
      </w:pPr>
      <w:r>
        <w:rPr>
          <w:rtl/>
        </w:rPr>
        <w:t xml:space="preserve">   ○ להביא עוד טיעון שתומך בעמדה שאינה מודאגת      ○ להציג את הבעיה לראשונה      ○ לסכם את המאמר      ○ לחזק את עמדת המודאגים</w:t>
      </w:r>
    </w:p>
    <w:p>
      <w:pPr>
        <w:bidi/>
        <w:spacing w:before="0" w:after="20"/>
        <w:jc w:val="both"/>
      </w:pPr>
      <w:r>
        <w:rPr>
          <w:rtl/>
        </w:rPr>
        <w:t>ג. מה תפקיד הדימוי של הפטיש והמברג בשורות 16–19?</w:t>
      </w:r>
    </w:p>
    <w:p>
      <w:pPr>
        <w:bidi/>
        <w:spacing w:before="0" w:after="80"/>
        <w:jc w:val="both"/>
      </w:pPr>
      <w:r>
        <w:rPr>
          <w:rtl/>
        </w:rPr>
        <w:t xml:space="preserve">   ○ לתאר עבודה בבית      ○ להראות שכלי חדש אינו מבטל את הכלים הישנים      ○ להסביר מה זה תמרור      ○ להציג עמדה מנוגדת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עמדת הכותב: האם הכותב מצטרף לאחד הצדדים בוויכוח? הסבירו את עמדתו והביאו ראיה מן הטקסט, בשורות 20–27.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הערכה: האם לדעתכם האימוג'י מזיקים לכתיבה של בני נוער? נמקו בעזרת נימוק אחד מן המאמר ונימוק אחד משלכם.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הצירוף במילה אחת, עם כינוי חבור. (6 נק')</w:t>
      </w:r>
    </w:p>
    <w:p>
      <w:pPr>
        <w:bidi/>
        <w:spacing w:before="0" w:after="60"/>
        <w:jc w:val="both"/>
      </w:pPr>
      <w:r>
        <w:rPr>
          <w:rtl/>
        </w:rPr>
        <w:t>א. «ההודעות שלנו» בכינוי חבור: __________.</w:t>
      </w:r>
    </w:p>
    <w:p>
      <w:pPr>
        <w:bidi/>
        <w:spacing w:before="0" w:after="60"/>
        <w:jc w:val="both"/>
      </w:pPr>
      <w:r>
        <w:rPr>
          <w:rtl/>
        </w:rPr>
        <w:t>ב. «המילים שלהם» בכינוי חבור: __________.</w:t>
      </w:r>
    </w:p>
    <w:p>
      <w:pPr>
        <w:bidi/>
        <w:spacing w:before="0" w:after="60"/>
        <w:jc w:val="both"/>
      </w:pPr>
      <w:r>
        <w:rPr>
          <w:rtl/>
        </w:rPr>
        <w:t>ג. «הכיתה שלכם» בכינוי חבור: __________.</w:t>
      </w:r>
    </w:p>
    <w:p>
      <w:pPr>
        <w:bidi/>
        <w:spacing w:before="0" w:after="60"/>
        <w:jc w:val="both"/>
      </w:pPr>
      <w:r>
        <w:rPr>
          <w:rtl/>
        </w:rPr>
        <w:t>ד. «הבנתי אותם» בכינוי חבור: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מה תפקיד צורת הבינוני במשפט? (6 נק')</w:t>
      </w:r>
    </w:p>
    <w:p>
      <w:pPr>
        <w:bidi/>
        <w:spacing w:before="0" w:after="20"/>
        <w:jc w:val="both"/>
      </w:pPr>
      <w:r>
        <w:rPr>
          <w:rtl/>
        </w:rPr>
        <w:t>א. «המודאגים טוענים...» – «המודאגים» הם:</w:t>
      </w:r>
    </w:p>
    <w:p>
      <w:pPr>
        <w:bidi/>
        <w:spacing w:before="0" w:after="80"/>
        <w:jc w:val="both"/>
      </w:pPr>
      <w:r>
        <w:rPr>
          <w:rtl/>
        </w:rPr>
        <w:t xml:space="preserve">   ○ פועל      ○ שם עצם      ○ שם תואר</w:t>
      </w:r>
    </w:p>
    <w:p>
      <w:pPr>
        <w:bidi/>
        <w:spacing w:before="0" w:after="20"/>
        <w:jc w:val="both"/>
      </w:pPr>
      <w:r>
        <w:rPr>
          <w:rtl/>
        </w:rPr>
        <w:t>ב. «פרצוף מחייך קטן» – «מחייך» הוא:</w:t>
      </w:r>
    </w:p>
    <w:p>
      <w:pPr>
        <w:bidi/>
        <w:spacing w:before="0" w:after="80"/>
        <w:jc w:val="both"/>
      </w:pPr>
      <w:r>
        <w:rPr>
          <w:rtl/>
        </w:rPr>
        <w:t xml:space="preserve">   ○ פועל      ○ שם עצם      ○ שם תואר</w:t>
      </w:r>
    </w:p>
    <w:p>
      <w:pPr>
        <w:bidi/>
        <w:spacing w:before="0" w:after="20"/>
        <w:jc w:val="both"/>
      </w:pPr>
      <w:r>
        <w:rPr>
          <w:rtl/>
        </w:rPr>
        <w:t>ג. «רוב החוקרים מסכימים על דבר אחד» – «מסכימים» הוא:</w:t>
      </w:r>
    </w:p>
    <w:p>
      <w:pPr>
        <w:bidi/>
        <w:spacing w:before="0" w:after="80"/>
        <w:jc w:val="both"/>
      </w:pPr>
      <w:r>
        <w:rPr>
          <w:rtl/>
        </w:rPr>
        <w:t xml:space="preserve">   ○ פועל      ○ שם עצם      ○ שם תואר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העבירו כל פועל מן המאמר לעבר, גוף «הוא», וכתבו את הבניין.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מן המאמר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 – הוא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מתרגל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נעזרים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מבהיר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מה היחס הלוגי שמבטאת מילת הקישור, והציעו מילה חלופית עם אותה משמעות.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מן המאמר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היחס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חלופית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אף על פי שהוויכוח לא הוכרע...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לעומת זאת, במכתב למוסד...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...ולכן משפט תמים עלול להתפרש כעלבון.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שם המספר: כתבו את המספר במילים, בצורה הנכונה. (5 נק')</w:t>
      </w:r>
    </w:p>
    <w:p>
      <w:pPr>
        <w:bidi/>
        <w:spacing w:before="0" w:after="60"/>
        <w:jc w:val="both"/>
      </w:pPr>
      <w:r>
        <w:rPr>
          <w:rtl/>
        </w:rPr>
        <w:t>א. בקבוצה שלנו __________ (12) תלמידות.</w:t>
      </w:r>
    </w:p>
    <w:p>
      <w:pPr>
        <w:bidi/>
        <w:spacing w:before="0" w:after="60"/>
        <w:jc w:val="both"/>
      </w:pPr>
      <w:r>
        <w:rPr>
          <w:rtl/>
        </w:rPr>
        <w:t>ב. שלחתי לו __________ (8) הודעות.</w:t>
      </w:r>
    </w:p>
    <w:p>
      <w:pPr>
        <w:bidi/>
        <w:spacing w:before="0" w:after="60"/>
        <w:jc w:val="both"/>
      </w:pPr>
      <w:r>
        <w:rPr>
          <w:rtl/>
        </w:rPr>
        <w:t>ג. קיבלתי __________ (3) לבבות על התמונה.</w:t>
      </w:r>
    </w:p>
    <w:p>
      <w:pPr>
        <w:bidi/>
        <w:spacing w:before="0" w:after="60"/>
        <w:jc w:val="both"/>
      </w:pPr>
      <w:r>
        <w:rPr>
          <w:rtl/>
        </w:rPr>
        <w:t>ד. הטיול יתקיים ב־__________ (5) במאי.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העבירו לדיבור עקיף.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 ישיר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 עקיף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המורה אמרה: «אני מבקשת לכתוב בלשון רשמית».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נגה שאלה את יובל: «למה שלחת לי פרצוף עצוב?»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מאמר עמדה (150–200 מילים) לעיתון בית הספר בנושא: «האם מותר לשלוח אימוג'י בהודעות למורים?». הקפידו על: כותרת; פתיח עם טענה ברורה; שני נימוקים, ולכל אחד הצדקה; הצגת העמדה המנוגדת ותשובה עליה; סגיר שחוזר לטענה; משלב מתאים לעיתון, מילות קישור מגוונות, כתיב ופיסוק. (25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