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ט'   |   מבחן</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Tahoma" w:hAnsi="Tahoma" w:cs="Tahoma"/>
          <w:b/>
          <w:bCs/>
          <w:color w:val="C2410C"/>
          <w:sz w:val="44"/>
          <w:szCs w:val="44"/>
          <w:rtl/>
        </w:rPr>
        <w:t>מבחן מסכם – רמה בסיסית · לשון כיתה ט'</w:t>
      </w:r>
    </w:p>
    <w:p>
      <w:pPr>
        <w:bidi/>
        <w:spacing w:before="0" w:after="120"/>
        <w:jc w:val="both"/>
      </w:pPr>
      <w:r>
        <w:rPr>
          <w:color w:val="5B6476"/>
          <w:sz w:val="22"/>
          <w:szCs w:val="22"/>
          <w:rtl/>
        </w:rPr>
        <w:t>משך הבחינה: שעתיים · סך הכול 100 נקודות. המבחן בנוי לפי מבחן «תנופה» בשפת אם לכיתה ט' ותוכנית הלימודים בחטיבת הביניים: הבנת הנקרא (איתור מידע, פרשנות והיסק, הערכה ביקורתית), הבעה בכתב וידע לשוני. יש לענות על כל השאלות. קראו את שני הטקסטים בעיון; מספרי השורות מופיעים בשוליים. בשאלות הפתוחות ענו במשפטים שלמים ובמילים שלכם.</w:t>
      </w:r>
    </w:p>
    <w:p>
      <w:pPr>
        <w:bidi/>
        <w:spacing w:before="200" w:after="80"/>
        <w:jc w:val="both"/>
      </w:pPr>
      <w:r>
        <w:rPr>
          <w:rFonts w:ascii="Tahoma" w:hAnsi="Tahoma" w:cs="Tahoma"/>
          <w:b/>
          <w:bCs/>
          <w:color w:val="C2410C"/>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חלק</w:t>
            </w:r>
          </w:p>
        </w:tc>
        <w:tc>
          <w:tcPr>
            <w:tcW w:type="dxa" w:w="3326"/>
            <w:shd w:val="clear" w:color="auto" w:fill="c2410c"/>
          </w:tcPr>
          <w:p>
            <w:pPr>
              <w:bidi/>
              <w:spacing w:before="0" w:after="40"/>
              <w:jc w:val="both"/>
            </w:pPr>
            <w:r>
              <w:rPr>
                <w:b/>
                <w:bCs/>
                <w:color w:val="FFFFFF"/>
                <w:rtl/>
              </w:rPr>
              <w:t>ניקוד מרבי</w:t>
            </w:r>
          </w:p>
        </w:tc>
        <w:tc>
          <w:tcPr>
            <w:tcW w:type="dxa" w:w="3326"/>
            <w:shd w:val="clear" w:color="auto" w:fill="c2410c"/>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ב: 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חלק ג: תחביר</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חלק ד: מערכת הצורות</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C2410C"/>
          <w:sz w:val="32"/>
          <w:szCs w:val="32"/>
          <w:rtl/>
        </w:rPr>
        <w:t>חלק א: הבנת הנקרא (35 נק')</w:t>
      </w:r>
    </w:p>
    <w:p>
      <w:pPr>
        <w:bidi/>
        <w:spacing w:before="120" w:after="40"/>
        <w:jc w:val="center"/>
      </w:pPr>
      <w:r>
        <w:rPr>
          <w:rFonts w:ascii="Tahoma" w:hAnsi="Tahoma" w:cs="Tahoma"/>
          <w:b/>
          <w:bCs/>
          <w:color w:val="C2410C"/>
          <w:sz w:val="30"/>
          <w:szCs w:val="30"/>
          <w:rtl/>
        </w:rPr>
        <w:t>השעון הפנימי של בני הנוער*</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6"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3"/>
                <w:szCs w:val="23"/>
                <w:rtl/>
              </w:rPr>
              <w:t>השעה אחת־עשרה בלילה. ההורים כבר מכבים את האורות, אבל בחדר של הנער עדיין</w:t>
              <w:br/>
            </w:r>
            <w:r>
              <w:rPr>
                <w:rFonts w:ascii="Arial" w:hAnsi="Arial" w:cs="Arial"/>
                <w:sz w:val="23"/>
                <w:szCs w:val="23"/>
                <w:rtl/>
              </w:rPr>
              <w:t>דולק אור: הוא אינו עייף כלל. למחרת בשבע בבוקר, כשהשעון המעורר מצלצל, הוא</w:t>
              <w:br/>
            </w:r>
            <w:r>
              <w:rPr>
                <w:rFonts w:ascii="Arial" w:hAnsi="Arial" w:cs="Arial"/>
                <w:sz w:val="23"/>
                <w:szCs w:val="23"/>
                <w:rtl/>
              </w:rPr>
              <w:t>מתקשה לפקוח את העיניים. מבוגרים רבים רואים בכך עצלות או חוסר משמעת, אך</w:t>
              <w:br/>
            </w:r>
            <w:r>
              <w:rPr>
                <w:rFonts w:ascii="Arial" w:hAnsi="Arial" w:cs="Arial"/>
                <w:sz w:val="23"/>
                <w:szCs w:val="23"/>
                <w:rtl/>
              </w:rPr>
              <w:t>מחקרים מן השנים האחרונות מראים שהתמונה מורכבת יותר.</w:t>
            </w:r>
          </w:p>
        </w:tc>
      </w:tr>
      <w:tr>
        <w:trPr>
          <w:cantSplit/>
        </w:trPr>
        <w:tc>
          <w:tcPr>
            <w:tcW w:w="510" w:type="dxa"/>
          </w:tcPr>
          <w:p>
            <w:pPr>
              <w:bidi/>
              <w:spacing w:before="46"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3"/>
                <w:szCs w:val="23"/>
                <w:rtl/>
              </w:rPr>
              <w:t>בגוף האדם פועל «שעון ביולוגי» – מנגנון פנימי שקובע מתי אנו מרגישים ערניים</w:t>
              <w:br/>
            </w:r>
            <w:r>
              <w:rPr>
                <w:rFonts w:ascii="Arial" w:hAnsi="Arial" w:cs="Arial"/>
                <w:sz w:val="23"/>
                <w:szCs w:val="23"/>
                <w:rtl/>
              </w:rPr>
              <w:t>ומתי אנו נעשים עייפים. השעון הזה מושפע מן האור: כשמחשיך, המוח מפריש חומר</w:t>
              <w:br/>
            </w:r>
            <w:r>
              <w:rPr>
                <w:rFonts w:ascii="Arial" w:hAnsi="Arial" w:cs="Arial"/>
                <w:sz w:val="23"/>
                <w:szCs w:val="23"/>
                <w:rtl/>
              </w:rPr>
              <w:t>בשם מלטונין, שמכין את הגוף לשינה. בגיל ההתבגרות השעון הפנימי משתנה, והפרשת</w:t>
              <w:br/>
            </w:r>
            <w:r>
              <w:rPr>
                <w:rFonts w:ascii="Arial" w:hAnsi="Arial" w:cs="Arial"/>
                <w:sz w:val="23"/>
                <w:szCs w:val="23"/>
                <w:rtl/>
              </w:rPr>
              <w:t>המלטונין מתחילה מאוחר יותר בערב. משום כך נער בן חמש־עשרה מרגיש עייף בשעה</w:t>
              <w:br/>
            </w:r>
            <w:r>
              <w:rPr>
                <w:rFonts w:ascii="Arial" w:hAnsi="Arial" w:cs="Arial"/>
                <w:sz w:val="23"/>
                <w:szCs w:val="23"/>
                <w:rtl/>
              </w:rPr>
              <w:t>מאוחרת יותר מאשר ילד בן עשר או מבוגר בן ארבעים. חשוב להבין שאין מדובר בהרגל</w:t>
              <w:br/>
            </w:r>
            <w:r>
              <w:rPr>
                <w:rFonts w:ascii="Arial" w:hAnsi="Arial" w:cs="Arial"/>
                <w:sz w:val="23"/>
                <w:szCs w:val="23"/>
                <w:rtl/>
              </w:rPr>
              <w:t>שהנער בחר בו: זהו שינוי טבעי, שחוקרים מצאו אותו אצל בני נוער בארצות רבות</w:t>
              <w:br/>
            </w:r>
            <w:r>
              <w:rPr>
                <w:rFonts w:ascii="Arial" w:hAnsi="Arial" w:cs="Arial"/>
                <w:sz w:val="23"/>
                <w:szCs w:val="23"/>
                <w:rtl/>
              </w:rPr>
              <w:t>ובתרבויות שונות. השינוי מגיע לשיאו בסביבות גיל שבע־עשרה או שמונה־עשרה,</w:t>
              <w:br/>
            </w:r>
            <w:r>
              <w:rPr>
                <w:rFonts w:ascii="Arial" w:hAnsi="Arial" w:cs="Arial"/>
                <w:sz w:val="23"/>
                <w:szCs w:val="23"/>
                <w:rtl/>
              </w:rPr>
              <w:t>ובהמשך, בשנות העשרים, השעון הפנימי חוזר בהדרגה להקדים.</w:t>
            </w:r>
          </w:p>
        </w:tc>
      </w:tr>
      <w:tr>
        <w:trPr>
          <w:cantSplit/>
        </w:trPr>
        <w:tc>
          <w:tcPr>
            <w:tcW w:w="510" w:type="dxa"/>
          </w:tcPr>
          <w:p>
            <w:pPr>
              <w:bidi/>
              <w:spacing w:before="46" w:after="0"/>
              <w:jc w:val="center"/>
            </w:pPr>
            <w:r>
              <w:rPr>
                <w:rFonts w:ascii="Arial" w:hAnsi="Arial" w:cs="Arial"/>
                <w:b/>
                <w:bCs/>
                <w:color w:val="94A3B8"/>
                <w:sz w:val="17"/>
                <w:szCs w:val="17"/>
                <w:rtl/>
              </w:rPr>
              <w:t>13</w:t>
            </w:r>
          </w:p>
        </w:tc>
        <w:tc>
          <w:tcPr>
            <w:tcW w:w="9354" w:type="dxa"/>
          </w:tcPr>
          <w:p>
            <w:pPr>
              <w:bidi/>
              <w:spacing w:before="0" w:after="80" w:line="336" w:lineRule="auto"/>
              <w:jc w:val="both"/>
            </w:pPr>
            <w:r>
              <w:rPr>
                <w:rFonts w:ascii="Arial" w:hAnsi="Arial" w:cs="Arial"/>
                <w:sz w:val="23"/>
                <w:szCs w:val="23"/>
                <w:rtl/>
              </w:rPr>
              <w:t>לעומת זאת, שעת ההשכמה של בני הנוער אינה משתנה, ולעיתים אף מוקדמת יותר,</w:t>
              <w:br/>
            </w:r>
            <w:r>
              <w:rPr>
                <w:rFonts w:ascii="Arial" w:hAnsi="Arial" w:cs="Arial"/>
                <w:sz w:val="23"/>
                <w:szCs w:val="23"/>
                <w:rtl/>
              </w:rPr>
              <w:t>שהרי הלימודים בחטיבת הביניים ובתיכון מתחילים בבוקר השכם. התוצאה היא חוסר</w:t>
              <w:br/>
            </w:r>
            <w:r>
              <w:rPr>
                <w:rFonts w:ascii="Arial" w:hAnsi="Arial" w:cs="Arial"/>
                <w:sz w:val="23"/>
                <w:szCs w:val="23"/>
                <w:rtl/>
              </w:rPr>
              <w:t>שינה מתמשך. רופאים ממליצים שבני נוער יישנו בין שמונה לעשר שעות בלילה, אך</w:t>
              <w:br/>
            </w:r>
            <w:r>
              <w:rPr>
                <w:rFonts w:ascii="Arial" w:hAnsi="Arial" w:cs="Arial"/>
                <w:sz w:val="23"/>
                <w:szCs w:val="23"/>
                <w:rtl/>
              </w:rPr>
              <w:t>סקרים מראים שרבים מהם ישנים שש או שבע שעות בלבד בימי הלימודים.</w:t>
            </w:r>
          </w:p>
        </w:tc>
      </w:tr>
      <w:tr>
        <w:trPr>
          <w:cantSplit/>
        </w:trPr>
        <w:tc>
          <w:tcPr>
            <w:tcW w:w="510" w:type="dxa"/>
          </w:tcPr>
          <w:p>
            <w:pPr>
              <w:bidi/>
              <w:spacing w:before="46" w:after="0"/>
              <w:jc w:val="center"/>
            </w:pPr>
            <w:r>
              <w:rPr>
                <w:rFonts w:ascii="Arial" w:hAnsi="Arial" w:cs="Arial"/>
                <w:b/>
                <w:bCs/>
                <w:color w:val="94A3B8"/>
                <w:sz w:val="17"/>
                <w:szCs w:val="17"/>
                <w:rtl/>
              </w:rPr>
              <w:t>17</w:t>
            </w:r>
          </w:p>
        </w:tc>
        <w:tc>
          <w:tcPr>
            <w:tcW w:w="9354" w:type="dxa"/>
          </w:tcPr>
          <w:p>
            <w:pPr>
              <w:bidi/>
              <w:spacing w:before="0" w:after="80" w:line="336" w:lineRule="auto"/>
              <w:jc w:val="both"/>
            </w:pPr>
            <w:r>
              <w:rPr>
                <w:rFonts w:ascii="Arial" w:hAnsi="Arial" w:cs="Arial"/>
                <w:sz w:val="23"/>
                <w:szCs w:val="23"/>
                <w:rtl/>
              </w:rPr>
              <w:t>למחסור בשינה יש מחיר. נער שאינו ישן די אינו מצליח להתרכז בשיעורים, זוכר פחות</w:t>
              <w:br/>
            </w:r>
            <w:r>
              <w:rPr>
                <w:rFonts w:ascii="Arial" w:hAnsi="Arial" w:cs="Arial"/>
                <w:sz w:val="23"/>
                <w:szCs w:val="23"/>
                <w:rtl/>
              </w:rPr>
              <w:t>את מה שלמד ומגיב לאט יותר. חוסר שינה משפיע גם על מצב הרוח: הוא מגביר</w:t>
              <w:br/>
            </w:r>
            <w:r>
              <w:rPr>
                <w:rFonts w:ascii="Arial" w:hAnsi="Arial" w:cs="Arial"/>
                <w:sz w:val="23"/>
                <w:szCs w:val="23"/>
                <w:rtl/>
              </w:rPr>
              <w:t>עצבנות ומקשה להתמודד עם לחצים. יתרה מזו, נהגים צעירים שישנו מעט נמצאים</w:t>
              <w:br/>
            </w:r>
            <w:r>
              <w:rPr>
                <w:rFonts w:ascii="Arial" w:hAnsi="Arial" w:cs="Arial"/>
                <w:sz w:val="23"/>
                <w:szCs w:val="23"/>
                <w:rtl/>
              </w:rPr>
              <w:t>בסיכון גבוה יותר לתאונות דרכים. השינה, אם כן, אינה בזבוז זמן, אלא צורך בסיסי</w:t>
              <w:br/>
            </w:r>
            <w:r>
              <w:rPr>
                <w:rFonts w:ascii="Arial" w:hAnsi="Arial" w:cs="Arial"/>
                <w:sz w:val="23"/>
                <w:szCs w:val="23"/>
                <w:rtl/>
              </w:rPr>
              <w:t>של הגוף והמוח. במחקר שנערך בכמה בתי ספר התבקשו תלמידים לפתור תרגילים</w:t>
              <w:br/>
            </w:r>
            <w:r>
              <w:rPr>
                <w:rFonts w:ascii="Arial" w:hAnsi="Arial" w:cs="Arial"/>
                <w:sz w:val="23"/>
                <w:szCs w:val="23"/>
                <w:rtl/>
              </w:rPr>
              <w:t>בחשבון אחרי לילה של שינה מלאה ואחרי לילה של שינה קצרה. אחרי הלילה הקצר הם</w:t>
              <w:br/>
            </w:r>
            <w:r>
              <w:rPr>
                <w:rFonts w:ascii="Arial" w:hAnsi="Arial" w:cs="Arial"/>
                <w:sz w:val="23"/>
                <w:szCs w:val="23"/>
                <w:rtl/>
              </w:rPr>
              <w:t>טעו יותר, ולקח להם זמן רב יותר לסיים, אף על פי שהם עצמם העריכו שתפקודם לא</w:t>
              <w:br/>
            </w:r>
            <w:r>
              <w:rPr>
                <w:rFonts w:ascii="Arial" w:hAnsi="Arial" w:cs="Arial"/>
                <w:sz w:val="23"/>
                <w:szCs w:val="23"/>
                <w:rtl/>
              </w:rPr>
              <w:t>נפגע.</w:t>
            </w:r>
          </w:p>
        </w:tc>
      </w:tr>
      <w:tr>
        <w:trPr>
          <w:cantSplit/>
        </w:trPr>
        <w:tc>
          <w:tcPr>
            <w:tcW w:w="510" w:type="dxa"/>
          </w:tcPr>
          <w:p>
            <w:pPr>
              <w:bidi/>
              <w:spacing w:before="46" w:after="0"/>
              <w:jc w:val="center"/>
            </w:pPr>
            <w:r>
              <w:rPr>
                <w:rFonts w:ascii="Arial" w:hAnsi="Arial" w:cs="Arial"/>
                <w:b/>
                <w:bCs/>
                <w:color w:val="94A3B8"/>
                <w:sz w:val="17"/>
                <w:szCs w:val="17"/>
                <w:rtl/>
              </w:rPr>
              <w:t>25</w:t>
            </w:r>
          </w:p>
        </w:tc>
        <w:tc>
          <w:tcPr>
            <w:tcW w:w="9354" w:type="dxa"/>
          </w:tcPr>
          <w:p>
            <w:pPr>
              <w:bidi/>
              <w:spacing w:before="0" w:after="80" w:line="336" w:lineRule="auto"/>
              <w:jc w:val="both"/>
            </w:pPr>
            <w:r>
              <w:rPr>
                <w:rFonts w:ascii="Arial" w:hAnsi="Arial" w:cs="Arial"/>
                <w:sz w:val="23"/>
                <w:szCs w:val="23"/>
                <w:rtl/>
              </w:rPr>
              <w:t>גם המסכים תורמים לבעיה. האור הכחול שנפלט ממסכי הטלפונים והמחשבים מטעה</w:t>
              <w:br/>
            </w:r>
            <w:r>
              <w:rPr>
                <w:rFonts w:ascii="Arial" w:hAnsi="Arial" w:cs="Arial"/>
                <w:sz w:val="23"/>
                <w:szCs w:val="23"/>
                <w:rtl/>
              </w:rPr>
              <w:t>את המוח, כאילו עדיין יום, ומעכב את הפרשת המלטונין. מעבר לכך, משחקים,</w:t>
              <w:br/>
            </w:r>
            <w:r>
              <w:rPr>
                <w:rFonts w:ascii="Arial" w:hAnsi="Arial" w:cs="Arial"/>
                <w:sz w:val="23"/>
                <w:szCs w:val="23"/>
                <w:rtl/>
              </w:rPr>
              <w:t>סרטונים והודעות מעוררים את המוח בדיוק בשעה שהוא צריך להירגע. כך נוצר מעגל:</w:t>
              <w:br/>
            </w:r>
            <w:r>
              <w:rPr>
                <w:rFonts w:ascii="Arial" w:hAnsi="Arial" w:cs="Arial"/>
                <w:sz w:val="23"/>
                <w:szCs w:val="23"/>
                <w:rtl/>
              </w:rPr>
              <w:t>הנער אינו עייף ולכן מחזיק בטלפון, והטלפון מרחיק ממנו את השינה עוד יותר. רבים</w:t>
              <w:br/>
            </w:r>
            <w:r>
              <w:rPr>
                <w:rFonts w:ascii="Arial" w:hAnsi="Arial" w:cs="Arial"/>
                <w:sz w:val="23"/>
                <w:szCs w:val="23"/>
                <w:rtl/>
              </w:rPr>
              <w:t>מבני הנוער מעידים שהם מתכוונים «רק לבדוק הודעה אחת», ומוצאים את עצמם ערים</w:t>
              <w:br/>
            </w:r>
            <w:r>
              <w:rPr>
                <w:rFonts w:ascii="Arial" w:hAnsi="Arial" w:cs="Arial"/>
                <w:sz w:val="23"/>
                <w:szCs w:val="23"/>
                <w:rtl/>
              </w:rPr>
              <w:t>כעבור שעה.</w:t>
            </w:r>
          </w:p>
        </w:tc>
      </w:tr>
      <w:tr>
        <w:trPr>
          <w:cantSplit/>
        </w:trPr>
        <w:tc>
          <w:tcPr>
            <w:tcW w:w="510" w:type="dxa"/>
          </w:tcPr>
          <w:p>
            <w:pPr>
              <w:bidi/>
              <w:spacing w:before="46" w:after="0"/>
              <w:jc w:val="center"/>
            </w:pPr>
            <w:r>
              <w:rPr>
                <w:rFonts w:ascii="Arial" w:hAnsi="Arial" w:cs="Arial"/>
                <w:b/>
                <w:bCs/>
                <w:color w:val="94A3B8"/>
                <w:sz w:val="17"/>
                <w:szCs w:val="17"/>
                <w:rtl/>
              </w:rPr>
              <w:t>31</w:t>
            </w:r>
          </w:p>
        </w:tc>
        <w:tc>
          <w:tcPr>
            <w:tcW w:w="9354" w:type="dxa"/>
          </w:tcPr>
          <w:p>
            <w:pPr>
              <w:bidi/>
              <w:spacing w:before="0" w:after="80" w:line="336" w:lineRule="auto"/>
              <w:jc w:val="both"/>
            </w:pPr>
            <w:r>
              <w:rPr>
                <w:rFonts w:ascii="Arial" w:hAnsi="Arial" w:cs="Arial"/>
                <w:sz w:val="23"/>
                <w:szCs w:val="23"/>
                <w:rtl/>
              </w:rPr>
              <w:t>מה אפשר לעשות? בכמה מקומות בעולם החליטו בתי ספר להתחיל את יום הלימודים</w:t>
              <w:br/>
            </w:r>
            <w:r>
              <w:rPr>
                <w:rFonts w:ascii="Arial" w:hAnsi="Arial" w:cs="Arial"/>
                <w:sz w:val="23"/>
                <w:szCs w:val="23"/>
                <w:rtl/>
              </w:rPr>
              <w:t>מאוחר יותר, בשעה שמונה וחצי או תשע. במקומות אלה דווח על שיפור בנוכחות,</w:t>
              <w:br/>
            </w:r>
            <w:r>
              <w:rPr>
                <w:rFonts w:ascii="Arial" w:hAnsi="Arial" w:cs="Arial"/>
                <w:sz w:val="23"/>
                <w:szCs w:val="23"/>
                <w:rtl/>
              </w:rPr>
              <w:t>בציונים ובמצב הרוח של התלמידים. אולם לשינוי כזה יש גם קשיים: הורים רבים</w:t>
              <w:br/>
            </w:r>
            <w:r>
              <w:rPr>
                <w:rFonts w:ascii="Arial" w:hAnsi="Arial" w:cs="Arial"/>
                <w:sz w:val="23"/>
                <w:szCs w:val="23"/>
                <w:rtl/>
              </w:rPr>
              <w:t>יוצאים לעבודה מוקדם, ויש לשנות את לוחות הזמנים של ההסעות ושל החוגים. יש גם</w:t>
              <w:br/>
            </w:r>
            <w:r>
              <w:rPr>
                <w:rFonts w:ascii="Arial" w:hAnsi="Arial" w:cs="Arial"/>
                <w:sz w:val="23"/>
                <w:szCs w:val="23"/>
                <w:rtl/>
              </w:rPr>
              <w:t>מי שחוששים שאם יתחילו הלימודים מאוחר יותר, התלמידים פשוט ילכו לישון מאוחר</w:t>
              <w:br/>
            </w:r>
            <w:r>
              <w:rPr>
                <w:rFonts w:ascii="Arial" w:hAnsi="Arial" w:cs="Arial"/>
                <w:sz w:val="23"/>
                <w:szCs w:val="23"/>
                <w:rtl/>
              </w:rPr>
              <w:t>עוד יותר, והרווח יימחק. החוקרים משיבים כי במקומות שבהם נעשה השינוי,</w:t>
              <w:br/>
            </w:r>
            <w:r>
              <w:rPr>
                <w:rFonts w:ascii="Arial" w:hAnsi="Arial" w:cs="Arial"/>
                <w:sz w:val="23"/>
                <w:szCs w:val="23"/>
                <w:rtl/>
              </w:rPr>
              <w:t>התלמידים הוסיפו בממוצע כחצי שעה של שינה בכל לילה – תוספת שנראית קטנה, אך</w:t>
              <w:br/>
            </w:r>
            <w:r>
              <w:rPr>
                <w:rFonts w:ascii="Arial" w:hAnsi="Arial" w:cs="Arial"/>
                <w:sz w:val="23"/>
                <w:szCs w:val="23"/>
                <w:rtl/>
              </w:rPr>
              <w:t>מצטברת לשעות רבות בכל חודש.</w:t>
            </w:r>
          </w:p>
        </w:tc>
      </w:tr>
      <w:tr>
        <w:trPr>
          <w:cantSplit/>
        </w:trPr>
        <w:tc>
          <w:tcPr>
            <w:tcW w:w="510" w:type="dxa"/>
          </w:tcPr>
          <w:p>
            <w:pPr>
              <w:bidi/>
              <w:spacing w:before="46" w:after="0"/>
              <w:jc w:val="center"/>
            </w:pPr>
            <w:r>
              <w:rPr>
                <w:rFonts w:ascii="Arial" w:hAnsi="Arial" w:cs="Arial"/>
                <w:b/>
                <w:bCs/>
                <w:color w:val="94A3B8"/>
                <w:sz w:val="17"/>
                <w:szCs w:val="17"/>
                <w:rtl/>
              </w:rPr>
              <w:t>39</w:t>
            </w:r>
          </w:p>
        </w:tc>
        <w:tc>
          <w:tcPr>
            <w:tcW w:w="9354" w:type="dxa"/>
          </w:tcPr>
          <w:p>
            <w:pPr>
              <w:bidi/>
              <w:spacing w:before="0" w:after="80" w:line="336" w:lineRule="auto"/>
              <w:jc w:val="both"/>
            </w:pPr>
            <w:r>
              <w:rPr>
                <w:rFonts w:ascii="Arial" w:hAnsi="Arial" w:cs="Arial"/>
                <w:sz w:val="23"/>
                <w:szCs w:val="23"/>
                <w:rtl/>
              </w:rPr>
              <w:t>גם בני הנוער עצמם יכולים לסייע לשעון הפנימי שלהם: להניח את הטלפון מחוץ לחדר</w:t>
              <w:br/>
            </w:r>
            <w:r>
              <w:rPr>
                <w:rFonts w:ascii="Arial" w:hAnsi="Arial" w:cs="Arial"/>
                <w:sz w:val="23"/>
                <w:szCs w:val="23"/>
                <w:rtl/>
              </w:rPr>
              <w:t>כשעה לפני השינה, לשמור על שעות שינה קבועות גם בסופי שבוע ולצאת לאור יום</w:t>
              <w:br/>
            </w:r>
            <w:r>
              <w:rPr>
                <w:rFonts w:ascii="Arial" w:hAnsi="Arial" w:cs="Arial"/>
                <w:sz w:val="23"/>
                <w:szCs w:val="23"/>
                <w:rtl/>
              </w:rPr>
              <w:t>בבוקר. אלה צעדים פשוטים, אך הם דורשים התמדה. מי שיתמיד בהם יגלה שהבוקר</w:t>
              <w:br/>
            </w:r>
            <w:r>
              <w:rPr>
                <w:rFonts w:ascii="Arial" w:hAnsi="Arial" w:cs="Arial"/>
                <w:sz w:val="23"/>
                <w:szCs w:val="23"/>
                <w:rtl/>
              </w:rPr>
              <w:t>יכול להיות פחות קשה – ושהעייפות שנראתה כחלק בלתי נפרד מגיל ההתבגרות אינה</w:t>
              <w:br/>
            </w:r>
            <w:r>
              <w:rPr>
                <w:rFonts w:ascii="Arial" w:hAnsi="Arial" w:cs="Arial"/>
                <w:sz w:val="23"/>
                <w:szCs w:val="23"/>
                <w:rtl/>
              </w:rPr>
              <w:t>גזרת גורל.</w:t>
            </w:r>
          </w:p>
        </w:tc>
      </w:tr>
    </w:tbl>
    <w:p>
      <w:pPr>
        <w:bidi/>
        <w:spacing w:before="0" w:after="40"/>
        <w:jc w:val="both"/>
      </w:pPr>
    </w:p>
    <w:p>
      <w:pPr>
        <w:bidi/>
        <w:spacing w:before="0" w:after="120"/>
        <w:jc w:val="both"/>
      </w:pPr>
      <w:r>
        <w:rPr>
          <w:color w:val="5B6476"/>
          <w:sz w:val="20"/>
          <w:szCs w:val="20"/>
          <w:rtl/>
        </w:rPr>
        <w:t>* נכתב על ידי אלון פלג, 2019.</w:t>
      </w:r>
    </w:p>
    <w:p>
      <w:pPr>
        <w:bidi/>
        <w:spacing w:before="120" w:after="40"/>
        <w:jc w:val="center"/>
      </w:pPr>
      <w:r>
        <w:rPr>
          <w:rFonts w:ascii="Tahoma" w:hAnsi="Tahoma" w:cs="Tahoma"/>
          <w:b/>
          <w:bCs/>
          <w:color w:val="C2410C"/>
          <w:sz w:val="30"/>
          <w:szCs w:val="30"/>
          <w:rtl/>
        </w:rPr>
        <w:t>סקר: כמה ישנים תלמידי חטיבת הביניים?*</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בסקר שנערך בקרב 600 תלמידים בכיתות ז'–ט' נשאלו התלמידים כמה שעות הם</w:t>
              <w:br/>
            </w:r>
            <w:r>
              <w:rPr>
                <w:rFonts w:ascii="Arial" w:hAnsi="Arial" w:cs="Arial"/>
                <w:sz w:val="24"/>
                <w:szCs w:val="24"/>
                <w:rtl/>
              </w:rPr>
              <w:t>ישנים בלילה שלפני יום לימודים. הסקר נערך בתחילת שנת הלימודים, בשבוע שבו לא</w:t>
              <w:br/>
            </w:r>
            <w:r>
              <w:rPr>
                <w:rFonts w:ascii="Arial" w:hAnsi="Arial" w:cs="Arial"/>
                <w:sz w:val="24"/>
                <w:szCs w:val="24"/>
                <w:rtl/>
              </w:rPr>
              <w:t>נערכו מבחנים.</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 פחות משש שעות: 18% מהתלמידים. • שש עד שבע שעות: 47%. • שמונה שעות</w:t>
              <w:br/>
            </w:r>
            <w:r>
              <w:rPr>
                <w:rFonts w:ascii="Arial" w:hAnsi="Arial" w:cs="Arial"/>
                <w:sz w:val="24"/>
                <w:szCs w:val="24"/>
                <w:rtl/>
              </w:rPr>
              <w:t>ומעלה: 35%.</w:t>
            </w:r>
          </w:p>
        </w:tc>
      </w:tr>
      <w:tr>
        <w:trPr>
          <w:cantSplit/>
        </w:trPr>
        <w:tc>
          <w:tcPr>
            <w:tcW w:w="510" w:type="dxa"/>
          </w:tcPr>
          <w:p>
            <w:pPr>
              <w:bidi/>
              <w:spacing w:before="48"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4"/>
                <w:szCs w:val="24"/>
                <w:rtl/>
              </w:rPr>
              <w:t>עוד עלה מן הסקר כי 72% מהתלמידים משתמשים בטלפון במיטה לפני השינה, וכי</w:t>
              <w:br/>
            </w:r>
            <w:r>
              <w:rPr>
                <w:rFonts w:ascii="Arial" w:hAnsi="Arial" w:cs="Arial"/>
                <w:sz w:val="24"/>
                <w:szCs w:val="24"/>
                <w:rtl/>
              </w:rPr>
              <w:t>בקרב תלמידים אלה שיעור הישנים פחות משבע שעות גבוה כמעט פי שניים מאשר</w:t>
              <w:br/>
            </w:r>
            <w:r>
              <w:rPr>
                <w:rFonts w:ascii="Arial" w:hAnsi="Arial" w:cs="Arial"/>
                <w:sz w:val="24"/>
                <w:szCs w:val="24"/>
                <w:rtl/>
              </w:rPr>
              <w:t>בקרב התלמידים שאינם עושים זאת.</w:t>
            </w:r>
          </w:p>
        </w:tc>
      </w:tr>
      <w:tr>
        <w:trPr>
          <w:cantSplit/>
        </w:trPr>
        <w:tc>
          <w:tcPr>
            <w:tcW w:w="510" w:type="dxa"/>
          </w:tcPr>
          <w:p>
            <w:pPr>
              <w:bidi/>
              <w:spacing w:before="48" w:after="0"/>
              <w:jc w:val="center"/>
            </w:pPr>
            <w:r>
              <w:rPr>
                <w:rFonts w:ascii="Arial" w:hAnsi="Arial" w:cs="Arial"/>
                <w:b/>
                <w:bCs/>
                <w:color w:val="94A3B8"/>
                <w:sz w:val="17"/>
                <w:szCs w:val="17"/>
                <w:rtl/>
              </w:rPr>
              <w:t>9</w:t>
            </w:r>
          </w:p>
        </w:tc>
        <w:tc>
          <w:tcPr>
            <w:tcW w:w="9354" w:type="dxa"/>
          </w:tcPr>
          <w:p>
            <w:pPr>
              <w:bidi/>
              <w:spacing w:before="0" w:after="80" w:line="336" w:lineRule="auto"/>
              <w:jc w:val="both"/>
            </w:pPr>
            <w:r>
              <w:rPr>
                <w:rFonts w:ascii="Arial" w:hAnsi="Arial" w:cs="Arial"/>
                <w:sz w:val="24"/>
                <w:szCs w:val="24"/>
                <w:rtl/>
              </w:rPr>
              <w:t>מנהלי בתי הספר שהשתתפו בסקר ציינו כי בשיעור הראשון של הבוקר רבים מן</w:t>
              <w:br/>
            </w:r>
            <w:r>
              <w:rPr>
                <w:rFonts w:ascii="Arial" w:hAnsi="Arial" w:cs="Arial"/>
                <w:sz w:val="24"/>
                <w:szCs w:val="24"/>
                <w:rtl/>
              </w:rPr>
              <w:t>התלמידים מתקשים להתרכז, ואילו בשיעורים שאחרי ההפסקה הגדולה הערנות גבוהה</w:t>
              <w:br/>
            </w:r>
            <w:r>
              <w:rPr>
                <w:rFonts w:ascii="Arial" w:hAnsi="Arial" w:cs="Arial"/>
                <w:sz w:val="24"/>
                <w:szCs w:val="24"/>
                <w:rtl/>
              </w:rPr>
              <w:t>יותר. בעקבות הסקר החליטו שני בתי ספר לנסות במשך חודש להעביר את השיעור</w:t>
              <w:br/>
            </w:r>
            <w:r>
              <w:rPr>
                <w:rFonts w:ascii="Arial" w:hAnsi="Arial" w:cs="Arial"/>
                <w:sz w:val="24"/>
                <w:szCs w:val="24"/>
                <w:rtl/>
              </w:rPr>
              <w:t>הראשון לשעה שמונה וחצי ולבחון את התוצאות.</w:t>
            </w:r>
          </w:p>
        </w:tc>
      </w:tr>
    </w:tbl>
    <w:p>
      <w:pPr>
        <w:bidi/>
        <w:spacing w:before="0" w:after="40"/>
        <w:jc w:val="both"/>
      </w:pPr>
    </w:p>
    <w:p>
      <w:pPr>
        <w:bidi/>
        <w:spacing w:before="0" w:after="120"/>
        <w:jc w:val="both"/>
      </w:pPr>
      <w:r>
        <w:rPr>
          <w:color w:val="5B6476"/>
          <w:sz w:val="20"/>
          <w:szCs w:val="20"/>
          <w:rtl/>
        </w:rPr>
        <w:t>* נכתב על ידי חן אדלר, 2019. מתוך: «זרקור» – מגזין לנוער. הנתונים בטקסט בדויים.</w:t>
      </w:r>
    </w:p>
    <w:p>
      <w:pPr>
        <w:bidi/>
        <w:spacing w:before="160" w:after="60"/>
        <w:jc w:val="both"/>
      </w:pPr>
      <w:r>
        <w:rPr>
          <w:b/>
          <w:bCs/>
          <w:sz w:val="26"/>
          <w:szCs w:val="26"/>
          <w:rtl/>
        </w:rPr>
        <w:t>1. איתור מידע: בחרו את התשובה הנכונה לפי הטקסטים. (3 נק')</w:t>
      </w:r>
    </w:p>
    <w:p>
      <w:pPr>
        <w:bidi/>
        <w:spacing w:before="0" w:after="20"/>
        <w:jc w:val="both"/>
      </w:pPr>
      <w:r>
        <w:rPr>
          <w:rtl/>
        </w:rPr>
        <w:t>א. לפי הכתבה, מדוע בני נוער מרגישים עייפים בשעה מאוחרת יותר מילדים וממבוגרים?</w:t>
      </w:r>
    </w:p>
    <w:p>
      <w:pPr>
        <w:bidi/>
        <w:spacing w:before="0" w:after="80"/>
        <w:jc w:val="both"/>
      </w:pPr>
      <w:r>
        <w:rPr>
          <w:rtl/>
        </w:rPr>
        <w:t xml:space="preserve">   ○ משום שהם משתמשים במסכים יותר מכולם      ○ משום שבגיל ההתבגרות הפרשת המלטונין מתחילה מאוחר יותר      ○ משום שהלימודים מתחילים מוקדם      ○ משום שהם ישנים בצהריים</w:t>
      </w:r>
    </w:p>
    <w:p>
      <w:pPr>
        <w:bidi/>
        <w:spacing w:before="0" w:after="20"/>
        <w:jc w:val="both"/>
      </w:pPr>
      <w:r>
        <w:rPr>
          <w:rtl/>
        </w:rPr>
        <w:t>ב. לפי הסקר (טקסט 2), איזה אחוז מהתלמידים ישנים פחות משמונה שעות בלילה שלפני יום לימודים?</w:t>
      </w:r>
    </w:p>
    <w:p>
      <w:pPr>
        <w:bidi/>
        <w:spacing w:before="0" w:after="80"/>
        <w:jc w:val="both"/>
      </w:pPr>
      <w:r>
        <w:rPr>
          <w:rtl/>
        </w:rPr>
        <w:t xml:space="preserve">   ○ 18%      ○ 47%      ○ 65%      ○ 72%</w:t>
      </w:r>
    </w:p>
    <w:p>
      <w:pPr>
        <w:bidi/>
        <w:spacing w:before="160" w:after="60"/>
        <w:jc w:val="both"/>
      </w:pPr>
      <w:r>
        <w:rPr>
          <w:b/>
          <w:bCs/>
          <w:sz w:val="26"/>
          <w:szCs w:val="26"/>
          <w:rtl/>
        </w:rPr>
        <w:t>2. מהו הרעיון המרכזי של הכתבה «השעון הפנימי של בני הנוער»? ומה תפקידו של התיאור שבפתיחה (בשורות 1–4)? (4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מבנה הכתבה: כתבו את התפקיד של כל פסקה בכמה מילים. (6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היכן בטקסט</w:t>
            </w:r>
          </w:p>
        </w:tc>
        <w:tc>
          <w:tcPr>
            <w:tcW w:type="dxa" w:w="4989"/>
            <w:shd w:val="clear" w:color="auto" w:fill="c2410c"/>
          </w:tcPr>
          <w:p>
            <w:pPr>
              <w:bidi/>
              <w:spacing w:before="0" w:after="40"/>
              <w:jc w:val="both"/>
            </w:pPr>
            <w:r>
              <w:rPr>
                <w:b/>
                <w:bCs/>
                <w:color w:val="FFFFFF"/>
                <w:rtl/>
              </w:rPr>
              <w:t>תפקיד הפסקה</w:t>
            </w:r>
          </w:p>
        </w:tc>
      </w:tr>
      <w:tr>
        <w:tc>
          <w:tcPr>
            <w:tcW w:type="dxa" w:w="4989"/>
          </w:tcPr>
          <w:p>
            <w:pPr>
              <w:bidi/>
              <w:spacing w:before="0" w:after="40"/>
              <w:jc w:val="both"/>
            </w:pPr>
            <w:r>
              <w:rPr>
                <w:rtl/>
              </w:rPr>
              <w:t>בשורות 5–12</w:t>
            </w:r>
          </w:p>
        </w:tc>
        <w:tc>
          <w:tcPr>
            <w:tcW w:type="dxa" w:w="4989"/>
          </w:tcPr>
          <w:p>
            <w:pPr>
              <w:bidi/>
              <w:spacing w:before="0" w:after="40"/>
              <w:jc w:val="both"/>
            </w:pPr>
            <w:r>
              <w:rPr>
                <w:rtl/>
              </w:rPr>
            </w:r>
          </w:p>
        </w:tc>
      </w:tr>
      <w:tr>
        <w:tc>
          <w:tcPr>
            <w:tcW w:type="dxa" w:w="4989"/>
          </w:tcPr>
          <w:p>
            <w:pPr>
              <w:bidi/>
              <w:spacing w:before="0" w:after="40"/>
              <w:jc w:val="both"/>
            </w:pPr>
            <w:r>
              <w:rPr>
                <w:rtl/>
              </w:rPr>
              <w:t>בשורות 13–16</w:t>
            </w:r>
          </w:p>
        </w:tc>
        <w:tc>
          <w:tcPr>
            <w:tcW w:type="dxa" w:w="4989"/>
          </w:tcPr>
          <w:p>
            <w:pPr>
              <w:bidi/>
              <w:spacing w:before="0" w:after="40"/>
              <w:jc w:val="both"/>
            </w:pPr>
            <w:r>
              <w:rPr>
                <w:rtl/>
              </w:rPr>
            </w:r>
          </w:p>
        </w:tc>
      </w:tr>
      <w:tr>
        <w:tc>
          <w:tcPr>
            <w:tcW w:type="dxa" w:w="4989"/>
          </w:tcPr>
          <w:p>
            <w:pPr>
              <w:bidi/>
              <w:spacing w:before="0" w:after="40"/>
              <w:jc w:val="both"/>
            </w:pPr>
            <w:r>
              <w:rPr>
                <w:rtl/>
              </w:rPr>
              <w:t>בשורות 17–24</w:t>
            </w:r>
          </w:p>
        </w:tc>
        <w:tc>
          <w:tcPr>
            <w:tcW w:type="dxa" w:w="4989"/>
          </w:tcPr>
          <w:p>
            <w:pPr>
              <w:bidi/>
              <w:spacing w:before="0" w:after="40"/>
              <w:jc w:val="both"/>
            </w:pPr>
            <w:r>
              <w:rPr>
                <w:rtl/>
              </w:rPr>
            </w:r>
          </w:p>
        </w:tc>
      </w:tr>
      <w:tr>
        <w:tc>
          <w:tcPr>
            <w:tcW w:type="dxa" w:w="4989"/>
          </w:tcPr>
          <w:p>
            <w:pPr>
              <w:bidi/>
              <w:spacing w:before="0" w:after="40"/>
              <w:jc w:val="both"/>
            </w:pPr>
            <w:r>
              <w:rPr>
                <w:rtl/>
              </w:rPr>
              <w:t>בשורות 25–30</w:t>
            </w:r>
          </w:p>
        </w:tc>
        <w:tc>
          <w:tcPr>
            <w:tcW w:type="dxa" w:w="4989"/>
          </w:tcPr>
          <w:p>
            <w:pPr>
              <w:bidi/>
              <w:spacing w:before="0" w:after="40"/>
              <w:jc w:val="both"/>
            </w:pPr>
            <w:r>
              <w:rPr>
                <w:rtl/>
              </w:rPr>
            </w:r>
          </w:p>
        </w:tc>
      </w:tr>
      <w:tr>
        <w:tc>
          <w:tcPr>
            <w:tcW w:type="dxa" w:w="4989"/>
          </w:tcPr>
          <w:p>
            <w:pPr>
              <w:bidi/>
              <w:spacing w:before="0" w:after="40"/>
              <w:jc w:val="both"/>
            </w:pPr>
            <w:r>
              <w:rPr>
                <w:rtl/>
              </w:rPr>
              <w:t>בשורות 31–38</w:t>
            </w:r>
          </w:p>
        </w:tc>
        <w:tc>
          <w:tcPr>
            <w:tcW w:type="dxa" w:w="4989"/>
          </w:tcPr>
          <w:p>
            <w:pPr>
              <w:bidi/>
              <w:spacing w:before="0" w:after="40"/>
              <w:jc w:val="both"/>
            </w:pPr>
            <w:r>
              <w:rPr>
                <w:rtl/>
              </w:rPr>
            </w:r>
          </w:p>
        </w:tc>
      </w:tr>
      <w:tr>
        <w:tc>
          <w:tcPr>
            <w:tcW w:type="dxa" w:w="4989"/>
          </w:tcPr>
          <w:p>
            <w:pPr>
              <w:bidi/>
              <w:spacing w:before="0" w:after="40"/>
              <w:jc w:val="both"/>
            </w:pPr>
            <w:r>
              <w:rPr>
                <w:rtl/>
              </w:rPr>
              <w:t>בשורות 39–43</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קשרים לוגיים: כתבו את הקשר הלוגי שמבטאת כל מילת קישור, והציעו מילת קישור אחרת באותו קשר. (5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מילת הקישור</w:t>
            </w:r>
          </w:p>
        </w:tc>
        <w:tc>
          <w:tcPr>
            <w:tcW w:type="dxa" w:w="2494"/>
            <w:shd w:val="clear" w:color="auto" w:fill="c2410c"/>
          </w:tcPr>
          <w:p>
            <w:pPr>
              <w:bidi/>
              <w:spacing w:before="0" w:after="40"/>
              <w:jc w:val="both"/>
            </w:pPr>
            <w:r>
              <w:rPr>
                <w:b/>
                <w:bCs/>
                <w:color w:val="FFFFFF"/>
                <w:rtl/>
              </w:rPr>
              <w:t>היכן בטקסט</w:t>
            </w:r>
          </w:p>
        </w:tc>
        <w:tc>
          <w:tcPr>
            <w:tcW w:type="dxa" w:w="2494"/>
            <w:shd w:val="clear" w:color="auto" w:fill="c2410c"/>
          </w:tcPr>
          <w:p>
            <w:pPr>
              <w:bidi/>
              <w:spacing w:before="0" w:after="40"/>
              <w:jc w:val="both"/>
            </w:pPr>
            <w:r>
              <w:rPr>
                <w:b/>
                <w:bCs/>
                <w:color w:val="FFFFFF"/>
                <w:rtl/>
              </w:rPr>
              <w:t>הקשר הלוגי</w:t>
            </w:r>
          </w:p>
        </w:tc>
        <w:tc>
          <w:tcPr>
            <w:tcW w:type="dxa" w:w="2494"/>
            <w:shd w:val="clear" w:color="auto" w:fill="c2410c"/>
          </w:tcPr>
          <w:p>
            <w:pPr>
              <w:bidi/>
              <w:spacing w:before="0" w:after="40"/>
              <w:jc w:val="both"/>
            </w:pPr>
            <w:r>
              <w:rPr>
                <w:b/>
                <w:bCs/>
                <w:color w:val="FFFFFF"/>
                <w:rtl/>
              </w:rPr>
              <w:t>מילה חלופית</w:t>
            </w:r>
          </w:p>
        </w:tc>
      </w:tr>
      <w:tr>
        <w:tc>
          <w:tcPr>
            <w:tcW w:type="dxa" w:w="2494"/>
          </w:tcPr>
          <w:p>
            <w:pPr>
              <w:bidi/>
              <w:spacing w:before="0" w:after="40"/>
              <w:jc w:val="both"/>
            </w:pPr>
            <w:r>
              <w:rPr>
                <w:rtl/>
              </w:rPr>
              <w:t>משום כך</w:t>
            </w:r>
          </w:p>
        </w:tc>
        <w:tc>
          <w:tcPr>
            <w:tcW w:type="dxa" w:w="2494"/>
          </w:tcPr>
          <w:p>
            <w:pPr>
              <w:bidi/>
              <w:spacing w:before="0" w:after="40"/>
              <w:jc w:val="both"/>
            </w:pPr>
            <w:r>
              <w:rPr>
                <w:rtl/>
              </w:rPr>
              <w:t>בשורות 5–12</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לעומת זאת</w:t>
            </w:r>
          </w:p>
        </w:tc>
        <w:tc>
          <w:tcPr>
            <w:tcW w:type="dxa" w:w="2494"/>
          </w:tcPr>
          <w:p>
            <w:pPr>
              <w:bidi/>
              <w:spacing w:before="0" w:after="40"/>
              <w:jc w:val="both"/>
            </w:pPr>
            <w:r>
              <w:rPr>
                <w:rtl/>
              </w:rPr>
              <w:t>בשורות 13–16</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יתרה מזו</w:t>
            </w:r>
          </w:p>
        </w:tc>
        <w:tc>
          <w:tcPr>
            <w:tcW w:type="dxa" w:w="2494"/>
          </w:tcPr>
          <w:p>
            <w:pPr>
              <w:bidi/>
              <w:spacing w:before="0" w:after="40"/>
              <w:jc w:val="both"/>
            </w:pPr>
            <w:r>
              <w:rPr>
                <w:rtl/>
              </w:rPr>
              <w:t>בשורות 17–24</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אף על פי ש</w:t>
            </w:r>
          </w:p>
        </w:tc>
        <w:tc>
          <w:tcPr>
            <w:tcW w:type="dxa" w:w="2494"/>
          </w:tcPr>
          <w:p>
            <w:pPr>
              <w:bidi/>
              <w:spacing w:before="0" w:after="40"/>
              <w:jc w:val="both"/>
            </w:pPr>
            <w:r>
              <w:rPr>
                <w:rtl/>
              </w:rPr>
              <w:t>בשורות 17–24</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אם כן</w:t>
            </w:r>
          </w:p>
        </w:tc>
        <w:tc>
          <w:tcPr>
            <w:tcW w:type="dxa" w:w="2494"/>
          </w:tcPr>
          <w:p>
            <w:pPr>
              <w:bidi/>
              <w:spacing w:before="0" w:after="40"/>
              <w:jc w:val="both"/>
            </w:pPr>
            <w:r>
              <w:rPr>
                <w:rtl/>
              </w:rPr>
              <w:t>בשורות 17–24</w:t>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משמעות בהקשר: התאימו כל מילה או ביטוי למשמעותם בכתבה. (4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טור א</w:t>
            </w:r>
          </w:p>
        </w:tc>
        <w:tc>
          <w:tcPr>
            <w:tcW w:type="dxa" w:w="4989"/>
            <w:shd w:val="clear" w:color="auto" w:fill="c2410c"/>
          </w:tcPr>
          <w:p>
            <w:pPr>
              <w:bidi/>
              <w:spacing w:before="0" w:after="40"/>
              <w:jc w:val="both"/>
            </w:pPr>
            <w:r>
              <w:rPr>
                <w:b/>
                <w:bCs/>
                <w:color w:val="FFFFFF"/>
                <w:rtl/>
              </w:rPr>
              <w:t>טור ב</w:t>
            </w:r>
          </w:p>
        </w:tc>
      </w:tr>
      <w:tr>
        <w:tc>
          <w:tcPr>
            <w:tcW w:type="dxa" w:w="4989"/>
          </w:tcPr>
          <w:p>
            <w:pPr>
              <w:bidi/>
              <w:spacing w:before="0" w:after="40"/>
              <w:jc w:val="both"/>
            </w:pPr>
            <w:r>
              <w:rPr>
                <w:rtl/>
              </w:rPr>
              <w:t>1. גזרת גורל (בשורות 39–43)</w:t>
            </w:r>
          </w:p>
        </w:tc>
        <w:tc>
          <w:tcPr>
            <w:tcW w:type="dxa" w:w="4989"/>
          </w:tcPr>
          <w:p>
            <w:pPr>
              <w:bidi/>
              <w:spacing w:before="0" w:after="40"/>
              <w:jc w:val="both"/>
            </w:pPr>
            <w:r>
              <w:rPr>
                <w:rtl/>
              </w:rPr>
              <w:t>[   ] דוחה ומאט</w:t>
            </w:r>
          </w:p>
        </w:tc>
      </w:tr>
      <w:tr>
        <w:tc>
          <w:tcPr>
            <w:tcW w:type="dxa" w:w="4989"/>
          </w:tcPr>
          <w:p>
            <w:pPr>
              <w:bidi/>
              <w:spacing w:before="0" w:after="40"/>
              <w:jc w:val="both"/>
            </w:pPr>
            <w:r>
              <w:rPr>
                <w:rtl/>
              </w:rPr>
              <w:t>2. מתמשך (בשורות 13–16)</w:t>
            </w:r>
          </w:p>
        </w:tc>
        <w:tc>
          <w:tcPr>
            <w:tcW w:type="dxa" w:w="4989"/>
          </w:tcPr>
          <w:p>
            <w:pPr>
              <w:bidi/>
              <w:spacing w:before="0" w:after="40"/>
              <w:jc w:val="both"/>
            </w:pPr>
            <w:r>
              <w:rPr>
                <w:rtl/>
              </w:rPr>
              <w:t>[   ] עשייה קבועה לאורך זמן</w:t>
            </w:r>
          </w:p>
        </w:tc>
      </w:tr>
      <w:tr>
        <w:tc>
          <w:tcPr>
            <w:tcW w:type="dxa" w:w="4989"/>
          </w:tcPr>
          <w:p>
            <w:pPr>
              <w:bidi/>
              <w:spacing w:before="0" w:after="40"/>
              <w:jc w:val="both"/>
            </w:pPr>
            <w:r>
              <w:rPr>
                <w:rtl/>
              </w:rPr>
              <w:t>3. מעכב (בשורות 25–30)</w:t>
            </w:r>
          </w:p>
        </w:tc>
        <w:tc>
          <w:tcPr>
            <w:tcW w:type="dxa" w:w="4989"/>
          </w:tcPr>
          <w:p>
            <w:pPr>
              <w:bidi/>
              <w:spacing w:before="0" w:after="40"/>
              <w:jc w:val="both"/>
            </w:pPr>
            <w:r>
              <w:rPr>
                <w:rtl/>
              </w:rPr>
              <w:t>[   ] דבר שאי אפשר לשנות</w:t>
            </w:r>
          </w:p>
        </w:tc>
      </w:tr>
      <w:tr>
        <w:tc>
          <w:tcPr>
            <w:tcW w:type="dxa" w:w="4989"/>
          </w:tcPr>
          <w:p>
            <w:pPr>
              <w:bidi/>
              <w:spacing w:before="0" w:after="40"/>
              <w:jc w:val="both"/>
            </w:pPr>
            <w:r>
              <w:rPr>
                <w:rtl/>
              </w:rPr>
              <w:t>4. התמדה (בשורות 39–43)</w:t>
            </w:r>
          </w:p>
        </w:tc>
        <w:tc>
          <w:tcPr>
            <w:tcW w:type="dxa" w:w="4989"/>
          </w:tcPr>
          <w:p>
            <w:pPr>
              <w:bidi/>
              <w:spacing w:before="0" w:after="40"/>
              <w:jc w:val="both"/>
            </w:pPr>
            <w:r>
              <w:rPr>
                <w:rtl/>
              </w:rPr>
              <w:t>[   ] שנמשך זמן רב</w:t>
            </w:r>
          </w:p>
        </w:tc>
      </w:tr>
    </w:tbl>
    <w:p>
      <w:pPr>
        <w:bidi/>
        <w:spacing w:before="0" w:after="40"/>
        <w:jc w:val="both"/>
      </w:pPr>
    </w:p>
    <w:p>
      <w:pPr>
        <w:bidi/>
        <w:spacing w:before="160" w:after="60"/>
        <w:jc w:val="both"/>
      </w:pPr>
      <w:r>
        <w:rPr>
          <w:b/>
          <w:bCs/>
          <w:sz w:val="26"/>
          <w:szCs w:val="26"/>
          <w:rtl/>
        </w:rPr>
        <w:t>6. מיזוג מידע: הסבירו כיצד נתוני הסקר (טקסט 2) מחזקים שתיים מן הטענות שבכתבה. לכל טענה ציינו היכן היא מופיעה בכתבה (למשל בשורות 13–16, בשורות 25–30). (5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בשורות 17–24 מתואר ניסוי בתרגילי חשבון. מה מוסיף הניסוי לטענה שמחסור בשינה פוגע בתפקוד? ומה אפשר ללמוד מן הפרט שהתלמידים «העריכו שתפקודם לא נפגע»? (4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הערכה ביקורתית: האם הכותב מציג את הצעת הלימודים המאוחרים (בשורות 31–38) באופן מאוזן? נמקו בשתי ראיות מן הטקסט, וכתבו אם לדעתכם הדבר מחזק או מחליש את הכתבה. (4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C2410C"/>
          <w:sz w:val="32"/>
          <w:szCs w:val="32"/>
          <w:rtl/>
        </w:rPr>
        <w:t>חלק ב: הבעה בכתב (25 נק')</w:t>
      </w:r>
    </w:p>
    <w:p>
      <w:pPr>
        <w:bidi/>
        <w:spacing w:before="160" w:after="60"/>
        <w:jc w:val="both"/>
      </w:pPr>
      <w:r>
        <w:rPr>
          <w:b/>
          <w:bCs/>
          <w:sz w:val="26"/>
          <w:szCs w:val="26"/>
          <w:rtl/>
        </w:rPr>
        <w:t>1. סיכום (60–80 מילים): סכמו את הפסקאות המופיעות בשורות 17–30 – מה המחיר של מחסור בשינה, וכיצד המסכים מחמירים את הבעיה. כתבו במילים שלכם, בלי דוגמאות.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כתיבה טיעונית (180–220 מילים): מועצת התלמידים מציעה שהלימודים בבית ספרכם יתחילו בשעה שמונה וחצי. כתבו מכתב למנהל בית הספר ובו הביעו את עמדתכם. כתבו פנייה וחתימה, טענה ברורה, שני נימוקים (לפחות אחד מן הטקסטים), טענה נגדית והפרכתה, וסיום. (15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C2410C"/>
          <w:sz w:val="32"/>
          <w:szCs w:val="32"/>
          <w:rtl/>
        </w:rPr>
        <w:t>חלק ג: תחביר (20 נק')</w:t>
      </w:r>
    </w:p>
    <w:p>
      <w:pPr>
        <w:bidi/>
        <w:spacing w:before="160" w:after="60"/>
        <w:jc w:val="both"/>
      </w:pPr>
      <w:r>
        <w:rPr>
          <w:b/>
          <w:bCs/>
          <w:sz w:val="26"/>
          <w:szCs w:val="26"/>
          <w:rtl/>
        </w:rPr>
        <w:t>1. ציינו את התפקיד התחבירי של הצירוף שבמירכאות «» (נושא, נשוא, מושא ישיר, מושא עקיף, לוואי, תיאור – כתבו את סוג התיאור). (10 נק')</w:t>
      </w:r>
    </w:p>
    <w:p>
      <w:pPr>
        <w:bidi/>
        <w:spacing w:before="0" w:after="100"/>
        <w:jc w:val="both"/>
      </w:pPr>
      <w:r>
        <w:rPr>
          <w:rtl/>
        </w:rPr>
        <w:t>א. «המוח» מפריש חומר בשם מלטונין.</w:t>
      </w:r>
    </w:p>
    <w:p>
      <w:pPr>
        <w:bidi/>
        <w:spacing w:before="0" w:after="100"/>
        <w:jc w:val="both"/>
      </w:pPr>
      <w:r>
        <w:rPr>
          <w:rtl/>
        </w:rPr>
        <w:t>ב. המוח מפריש «חומר» בשם מלטונין.</w:t>
      </w:r>
    </w:p>
    <w:p>
      <w:pPr>
        <w:bidi/>
        <w:spacing w:before="0" w:after="100"/>
        <w:jc w:val="both"/>
      </w:pPr>
      <w:r>
        <w:rPr>
          <w:rtl/>
        </w:rPr>
        <w:t>ג. השינה אינה «בזבוז זמן».</w:t>
      </w:r>
    </w:p>
    <w:p>
      <w:pPr>
        <w:bidi/>
        <w:spacing w:before="0" w:after="100"/>
        <w:jc w:val="both"/>
      </w:pPr>
      <w:r>
        <w:rPr>
          <w:rtl/>
        </w:rPr>
        <w:t>ד. האור «הכחול» מטעה את המוח.</w:t>
      </w:r>
    </w:p>
    <w:p>
      <w:pPr>
        <w:bidi/>
        <w:spacing w:before="0" w:after="100"/>
        <w:jc w:val="both"/>
      </w:pPr>
      <w:r>
        <w:rPr>
          <w:rtl/>
        </w:rPr>
        <w:t>ה. «בגיל ההתבגרות» השעון הפנימי משתנה.</w:t>
      </w:r>
    </w:p>
    <w:p>
      <w:pPr>
        <w:bidi/>
        <w:spacing w:before="0" w:after="100"/>
        <w:jc w:val="both"/>
      </w:pPr>
      <w:r>
        <w:rPr>
          <w:rtl/>
        </w:rPr>
        <w:t>ו. בכל בוקר התלמידים יוצאים «לאור היום».</w:t>
      </w:r>
    </w:p>
    <w:p>
      <w:pPr>
        <w:bidi/>
        <w:spacing w:before="0" w:after="100"/>
        <w:jc w:val="both"/>
      </w:pPr>
      <w:r>
        <w:rPr>
          <w:rtl/>
        </w:rPr>
        <w:t>ז. נער «בן חמש־עשרה» מרגיש עייף מאוחר.</w:t>
      </w:r>
    </w:p>
    <w:p>
      <w:pPr>
        <w:bidi/>
        <w:spacing w:before="0" w:after="100"/>
        <w:jc w:val="both"/>
      </w:pPr>
      <w:r>
        <w:rPr>
          <w:rtl/>
        </w:rPr>
        <w:t>ח. «בגלל העייפות» התלמידים אינם מתרכזים.</w:t>
      </w:r>
    </w:p>
    <w:p>
      <w:pPr>
        <w:bidi/>
        <w:spacing w:before="0" w:after="100"/>
        <w:jc w:val="both"/>
      </w:pPr>
      <w:r>
        <w:rPr>
          <w:rtl/>
        </w:rPr>
        <w:t>ט. הרופאים ממליצים «על שינה של שמונה שעות».</w:t>
      </w:r>
    </w:p>
    <w:p>
      <w:pPr>
        <w:bidi/>
        <w:spacing w:before="0" w:after="100"/>
        <w:jc w:val="both"/>
      </w:pPr>
      <w:r>
        <w:rPr>
          <w:rtl/>
        </w:rPr>
        <w:t>י. הנער מתקשה «לפקוח את העיניים».</w:t>
      </w:r>
    </w:p>
    <w:p>
      <w:pPr>
        <w:bidi/>
        <w:spacing w:before="160" w:after="60"/>
        <w:jc w:val="both"/>
      </w:pPr>
      <w:r>
        <w:rPr>
          <w:b/>
          <w:bCs/>
          <w:sz w:val="26"/>
          <w:szCs w:val="26"/>
          <w:rtl/>
        </w:rPr>
        <w:t>2. קבעו את סוג המשפט: פשוט, מורכב או מאוחה. במשפט מורכב – העתיקו את הפסוקית וכתבו את תפקידה; במשפט מאוחה – כתבו את הקשר הלוגי. (6 נק')</w:t>
      </w:r>
    </w:p>
    <w:p>
      <w:pPr>
        <w:bidi/>
        <w:spacing w:before="0" w:after="100"/>
        <w:jc w:val="both"/>
      </w:pPr>
      <w:r>
        <w:rPr>
          <w:rtl/>
        </w:rPr>
        <w:t>א. כשמחשיך, המוח מפריש מלטונין.</w:t>
      </w:r>
    </w:p>
    <w:p>
      <w:pPr>
        <w:bidi/>
        <w:spacing w:before="0" w:after="100"/>
        <w:jc w:val="both"/>
      </w:pPr>
      <w:r>
        <w:rPr>
          <w:rtl/>
        </w:rPr>
        <w:t>ב. הנער אינו עייף, ולכן הוא מחזיק בטלפון.</w:t>
      </w:r>
    </w:p>
    <w:p>
      <w:pPr>
        <w:bidi/>
        <w:spacing w:before="0" w:after="100"/>
        <w:jc w:val="both"/>
      </w:pPr>
      <w:r>
        <w:rPr>
          <w:rtl/>
        </w:rPr>
        <w:t>ג. מחקרים מראים שהתמונה מורכבת יותר.</w:t>
      </w:r>
    </w:p>
    <w:p>
      <w:pPr>
        <w:bidi/>
        <w:spacing w:before="160" w:after="60"/>
        <w:jc w:val="both"/>
      </w:pPr>
      <w:r>
        <w:rPr>
          <w:b/>
          <w:bCs/>
          <w:sz w:val="26"/>
          <w:szCs w:val="26"/>
          <w:rtl/>
        </w:rPr>
        <w:t>3. חלקים כוללים: כתבו מהם החלקים הכוללים בכל משפט ומה תפקידם התחבירי. (4 נק')</w:t>
      </w:r>
    </w:p>
    <w:p>
      <w:pPr>
        <w:bidi/>
        <w:spacing w:before="0" w:after="100"/>
        <w:jc w:val="both"/>
      </w:pPr>
      <w:r>
        <w:rPr>
          <w:rtl/>
        </w:rPr>
        <w:t>א. חוסר שינה מגביר עצבנות, מקשה להתרכז ומאט את התגובה.</w:t>
      </w:r>
    </w:p>
    <w:p>
      <w:pPr>
        <w:bidi/>
        <w:spacing w:before="0" w:after="100"/>
        <w:jc w:val="both"/>
      </w:pPr>
      <w:r>
        <w:rPr>
          <w:rtl/>
        </w:rPr>
        <w:t>ב. משחקים, סרטונים והודעות מעוררים את המוח.</w:t>
      </w:r>
    </w:p>
    <w:p>
      <w:pPr>
        <w:bidi/>
        <w:spacing w:before="160" w:after="80"/>
        <w:jc w:val="both"/>
      </w:pPr>
      <w:r>
        <w:rPr>
          <w:rFonts w:ascii="Tahoma" w:hAnsi="Tahoma" w:cs="Tahoma"/>
          <w:b/>
          <w:bCs/>
          <w:color w:val="C2410C"/>
          <w:sz w:val="32"/>
          <w:szCs w:val="32"/>
          <w:rtl/>
        </w:rPr>
        <w:t>חלק ד: מערכת הצורות (20 נק')</w:t>
      </w:r>
    </w:p>
    <w:p>
      <w:pPr>
        <w:bidi/>
        <w:spacing w:before="160" w:after="60"/>
        <w:jc w:val="both"/>
      </w:pPr>
      <w:r>
        <w:rPr>
          <w:b/>
          <w:bCs/>
          <w:sz w:val="26"/>
          <w:szCs w:val="26"/>
          <w:rtl/>
        </w:rPr>
        <w:t>1. כתבו את השורש, הבניין והגזרה של כל פועל מן הכתבה (אם הפועל בשלמים – כתבו «שלמים»). (10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הפועל</w:t>
            </w:r>
          </w:p>
        </w:tc>
        <w:tc>
          <w:tcPr>
            <w:tcW w:type="dxa" w:w="2494"/>
            <w:shd w:val="clear" w:color="auto" w:fill="c2410c"/>
          </w:tcPr>
          <w:p>
            <w:pPr>
              <w:bidi/>
              <w:spacing w:before="0" w:after="40"/>
              <w:jc w:val="both"/>
            </w:pPr>
            <w:r>
              <w:rPr>
                <w:b/>
                <w:bCs/>
                <w:color w:val="FFFFFF"/>
                <w:rtl/>
              </w:rPr>
              <w:t>שורש</w:t>
            </w:r>
          </w:p>
        </w:tc>
        <w:tc>
          <w:tcPr>
            <w:tcW w:type="dxa" w:w="2494"/>
            <w:shd w:val="clear" w:color="auto" w:fill="c2410c"/>
          </w:tcPr>
          <w:p>
            <w:pPr>
              <w:bidi/>
              <w:spacing w:before="0" w:after="40"/>
              <w:jc w:val="both"/>
            </w:pPr>
            <w:r>
              <w:rPr>
                <w:b/>
                <w:bCs/>
                <w:color w:val="FFFFFF"/>
                <w:rtl/>
              </w:rPr>
              <w:t>בניין</w:t>
            </w:r>
          </w:p>
        </w:tc>
        <w:tc>
          <w:tcPr>
            <w:tcW w:type="dxa" w:w="2494"/>
            <w:shd w:val="clear" w:color="auto" w:fill="c2410c"/>
          </w:tcPr>
          <w:p>
            <w:pPr>
              <w:bidi/>
              <w:spacing w:before="0" w:after="40"/>
              <w:jc w:val="both"/>
            </w:pPr>
            <w:r>
              <w:rPr>
                <w:b/>
                <w:bCs/>
                <w:color w:val="FFFFFF"/>
                <w:rtl/>
              </w:rPr>
              <w:t>גזרה</w:t>
            </w:r>
          </w:p>
        </w:tc>
      </w:tr>
      <w:tr>
        <w:tc>
          <w:tcPr>
            <w:tcW w:type="dxa" w:w="2494"/>
          </w:tcPr>
          <w:p>
            <w:pPr>
              <w:bidi/>
              <w:spacing w:before="0" w:after="40"/>
              <w:jc w:val="both"/>
            </w:pPr>
            <w:r>
              <w:rPr>
                <w:rtl/>
              </w:rPr>
              <w:t>מצלצל</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מפריש</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מוצאים (את עצמם)</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להתמודד</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הוסיפו</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מיינו את המילים לפי דרך התצורה שלהן. (5 נק')</w:t>
      </w:r>
    </w:p>
    <w:p>
      <w:pPr>
        <w:bidi/>
        <w:spacing w:before="0" w:after="80"/>
        <w:jc w:val="both"/>
      </w:pPr>
      <w:r>
        <w:rPr>
          <w:color w:val="C2410C"/>
          <w:sz w:val="24"/>
          <w:szCs w:val="24"/>
          <w:rtl/>
        </w:rPr>
        <w:t>המילים: מחשב  |  הסעה  |  ספרייה  |  ילדות  |  רמזור  |  מדרחוב  |  מנכ"ל  |  דו"ח</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שורש ומשקל</w:t>
            </w:r>
          </w:p>
        </w:tc>
        <w:tc>
          <w:tcPr>
            <w:tcW w:type="dxa" w:w="2494"/>
            <w:shd w:val="clear" w:color="auto" w:fill="c2410c"/>
          </w:tcPr>
          <w:p>
            <w:pPr>
              <w:bidi/>
              <w:spacing w:before="0" w:after="40"/>
              <w:jc w:val="both"/>
            </w:pPr>
            <w:r>
              <w:rPr>
                <w:b/>
                <w:bCs/>
                <w:color w:val="FFFFFF"/>
                <w:rtl/>
              </w:rPr>
              <w:t>בסיס וצורן סופי</w:t>
            </w:r>
          </w:p>
        </w:tc>
        <w:tc>
          <w:tcPr>
            <w:tcW w:type="dxa" w:w="2494"/>
            <w:shd w:val="clear" w:color="auto" w:fill="c2410c"/>
          </w:tcPr>
          <w:p>
            <w:pPr>
              <w:bidi/>
              <w:spacing w:before="0" w:after="40"/>
              <w:jc w:val="both"/>
            </w:pPr>
            <w:r>
              <w:rPr>
                <w:b/>
                <w:bCs/>
                <w:color w:val="FFFFFF"/>
                <w:rtl/>
              </w:rPr>
              <w:t>הלחם</w:t>
            </w:r>
          </w:p>
        </w:tc>
        <w:tc>
          <w:tcPr>
            <w:tcW w:type="dxa" w:w="2494"/>
            <w:shd w:val="clear" w:color="auto" w:fill="c2410c"/>
          </w:tcPr>
          <w:p>
            <w:pPr>
              <w:bidi/>
              <w:spacing w:before="0" w:after="40"/>
              <w:jc w:val="both"/>
            </w:pPr>
            <w:r>
              <w:rPr>
                <w:b/>
                <w:bCs/>
                <w:color w:val="FFFFFF"/>
                <w:rtl/>
              </w:rPr>
              <w:t>ראשי תיבות</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כתבו את שם הפעולה של כל פועל. (5 נק')</w:t>
      </w:r>
    </w:p>
    <w:p>
      <w:pPr>
        <w:bidi/>
        <w:spacing w:before="0" w:after="60"/>
        <w:jc w:val="both"/>
      </w:pPr>
      <w:r>
        <w:rPr>
          <w:rtl/>
        </w:rPr>
        <w:t>א. הִשְׁכִּים ← __________</w:t>
      </w:r>
    </w:p>
    <w:p>
      <w:pPr>
        <w:bidi/>
        <w:spacing w:before="0" w:after="60"/>
        <w:jc w:val="both"/>
      </w:pPr>
      <w:r>
        <w:rPr>
          <w:rtl/>
        </w:rPr>
        <w:t>ב. הִפְרִישׁ ← __________</w:t>
      </w:r>
    </w:p>
    <w:p>
      <w:pPr>
        <w:bidi/>
        <w:spacing w:before="0" w:after="60"/>
        <w:jc w:val="both"/>
      </w:pPr>
      <w:r>
        <w:rPr>
          <w:rtl/>
        </w:rPr>
        <w:t>ג. הִתְרַכֵּז ← __________</w:t>
      </w:r>
    </w:p>
    <w:p>
      <w:pPr>
        <w:bidi/>
        <w:spacing w:before="0" w:after="60"/>
        <w:jc w:val="both"/>
      </w:pPr>
      <w:r>
        <w:rPr>
          <w:rtl/>
        </w:rPr>
        <w:t>ד. שִׁפֵּר ← __________</w:t>
      </w:r>
    </w:p>
    <w:p>
      <w:pPr>
        <w:bidi/>
        <w:spacing w:before="0" w:after="60"/>
        <w:jc w:val="both"/>
      </w:pPr>
      <w:r>
        <w:rPr>
          <w:rtl/>
        </w:rPr>
        <w:t>ה. נִרְדַּם ← __________</w:t>
      </w:r>
    </w:p>
    <w:p>
      <w:pPr>
        <w:bidi/>
        <w:spacing w:before="200" w:after="80"/>
        <w:jc w:val="center"/>
      </w:pPr>
      <w:r>
        <w:rPr>
          <w:rFonts w:ascii="Tahoma" w:hAnsi="Tahoma" w:cs="Tahoma"/>
          <w:b/>
          <w:bCs/>
          <w:color w:val="C2410C"/>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