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ט'   |   מחוון למבחן</w:t>
      </w:r>
    </w:p>
    <w:p>
      <w:pPr>
        <w:bidi/>
        <w:spacing w:before="0" w:after="120"/>
        <w:jc w:val="both"/>
      </w:pPr>
      <w:r>
        <w:rPr>
          <w:rFonts w:ascii="Tahoma" w:hAnsi="Tahoma" w:cs="Tahoma"/>
          <w:b/>
          <w:bCs/>
          <w:color w:val="C2410C"/>
          <w:sz w:val="44"/>
          <w:szCs w:val="44"/>
          <w:rtl/>
        </w:rPr>
        <w:t>מבחן מסכם – רמה בסיסית · לשון כיתה ט' – מחוון</w:t>
      </w:r>
    </w:p>
    <w:p>
      <w:pPr>
        <w:bidi/>
        <w:spacing w:before="0" w:after="120"/>
        <w:jc w:val="both"/>
      </w:pPr>
      <w:r>
        <w:rPr>
          <w:color w:val="5B6476"/>
          <w:sz w:val="22"/>
          <w:szCs w:val="22"/>
          <w:rtl/>
        </w:rPr>
        <w:t>משך הבחינה: שעתיים · סך הכול 100 נקודות. המבחן בנוי לפי מבחן «תנופה» בשפת אם לכיתה ט' ותוכנית הלימודים בחטיבת הביניים: הבנת הנקרא (איתור מידע, פרשנות והיסק, הערכה ביקורתית), הבעה בכתב וידע לשוני. יש לענות על כל השאלות. קראו את שני הטקסטים בעיון; מספרי השורות מופיעים בשוליים. בשאלות הפתוחות ענו במשפטים שלמים ובמילים שלכם.</w:t>
      </w:r>
    </w:p>
    <w:p>
      <w:pPr>
        <w:bidi/>
        <w:spacing w:before="200" w:after="80"/>
        <w:jc w:val="both"/>
      </w:pPr>
      <w:r>
        <w:rPr>
          <w:rFonts w:ascii="Tahoma" w:hAnsi="Tahoma" w:cs="Tahoma"/>
          <w:b/>
          <w:bCs/>
          <w:color w:val="C2410C"/>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חלק</w:t>
            </w:r>
          </w:p>
        </w:tc>
        <w:tc>
          <w:tcPr>
            <w:tcW w:type="dxa" w:w="3326"/>
            <w:shd w:val="clear" w:color="auto" w:fill="c2410c"/>
          </w:tcPr>
          <w:p>
            <w:pPr>
              <w:bidi/>
              <w:spacing w:before="0" w:after="40"/>
              <w:jc w:val="both"/>
            </w:pPr>
            <w:r>
              <w:rPr>
                <w:b/>
                <w:bCs/>
                <w:color w:val="FFFFFF"/>
                <w:rtl/>
              </w:rPr>
              <w:t>ניקוד מרבי</w:t>
            </w:r>
          </w:p>
        </w:tc>
        <w:tc>
          <w:tcPr>
            <w:tcW w:type="dxa" w:w="3326"/>
            <w:shd w:val="clear" w:color="auto" w:fill="c2410c"/>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ב: 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חלק ג: תחביר</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חלק ד: מערכת הצורות</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C2410C"/>
          <w:sz w:val="32"/>
          <w:szCs w:val="32"/>
          <w:rtl/>
        </w:rPr>
        <w:t>חלק א: הבנת הנקרא (35 נק')</w:t>
      </w:r>
    </w:p>
    <w:p>
      <w:pPr>
        <w:bidi/>
        <w:spacing w:before="160" w:after="60"/>
        <w:jc w:val="both"/>
      </w:pPr>
      <w:r>
        <w:rPr>
          <w:b/>
          <w:bCs/>
          <w:sz w:val="26"/>
          <w:szCs w:val="26"/>
          <w:rtl/>
        </w:rPr>
        <w:t>1. איתור מידע: בחרו את התשובה הנכונה לפי הטקסטים. (3 נק')</w:t>
      </w:r>
    </w:p>
    <w:p>
      <w:pPr>
        <w:bidi/>
        <w:spacing w:before="0" w:after="20"/>
        <w:jc w:val="both"/>
      </w:pPr>
      <w:r>
        <w:rPr>
          <w:rtl/>
        </w:rPr>
        <w:t>א. לפי הכתבה, מדוע בני נוער מרגישים עייפים בשעה מאוחרת יותר מילדים וממבוגרים?</w:t>
      </w:r>
    </w:p>
    <w:p>
      <w:pPr>
        <w:bidi/>
        <w:spacing w:before="0" w:after="80"/>
        <w:jc w:val="both"/>
      </w:pPr>
      <w:r>
        <w:rPr>
          <w:b/>
          <w:bCs/>
          <w:color w:val="0F7A4F"/>
          <w:rtl/>
        </w:rPr>
        <w:t xml:space="preserve">   ✔ משום שבגיל ההתבגרות הפרשת המלטונין מתחילה מאוחר יותר</w:t>
      </w:r>
    </w:p>
    <w:p>
      <w:pPr>
        <w:bidi/>
        <w:spacing w:before="0" w:after="20"/>
        <w:jc w:val="both"/>
      </w:pPr>
      <w:r>
        <w:rPr>
          <w:rtl/>
        </w:rPr>
        <w:t>ב. לפי הסקר (טקסט 2), איזה אחוז מהתלמידים ישנים פחות משמונה שעות בלילה שלפני יום לימודים?</w:t>
      </w:r>
    </w:p>
    <w:p>
      <w:pPr>
        <w:bidi/>
        <w:spacing w:before="0" w:after="80"/>
        <w:jc w:val="both"/>
      </w:pPr>
      <w:r>
        <w:rPr>
          <w:b/>
          <w:bCs/>
          <w:color w:val="0F7A4F"/>
          <w:rtl/>
        </w:rPr>
        <w:t xml:space="preserve">   ✔ 65%</w:t>
      </w:r>
    </w:p>
    <w:p>
      <w:pPr>
        <w:bidi/>
        <w:spacing w:before="160" w:after="60"/>
        <w:jc w:val="both"/>
      </w:pPr>
      <w:r>
        <w:rPr>
          <w:b/>
          <w:bCs/>
          <w:sz w:val="26"/>
          <w:szCs w:val="26"/>
          <w:rtl/>
        </w:rPr>
        <w:t>2. מהו הרעיון המרכזי של הכתבה «השעון הפנימי של בני הנוער»? ומה תפקידו של התיאור שבפתיחה (בשורות 1–4)? (4 נק')</w:t>
      </w:r>
    </w:p>
    <w:p>
      <w:pPr>
        <w:bidi/>
        <w:spacing w:before="0" w:after="80"/>
        <w:jc w:val="both"/>
      </w:pPr>
      <w:r>
        <w:rPr>
          <w:color w:val="0F7A4F"/>
          <w:rtl/>
        </w:rPr>
        <w:t>תשובה אפשרית: רעיון מרכזי: העייפות של בני נוער בבוקר נובעת משינוי טבעי בשעון הביולוגי ומחוסר שינה – לא מעצלות – ויש דרכים להקל עליה (2). תפקיד הפתיחה: תמונה מוכרת מחיי היום־יום שמושכת את הקורא ומציגה את הבעיה ואת הדעה הרווחת («עצלות») שהכתבה באה לערער עליה (2).</w:t>
      </w:r>
    </w:p>
    <w:p>
      <w:pPr>
        <w:bidi/>
        <w:spacing w:before="160" w:after="60"/>
        <w:jc w:val="both"/>
      </w:pPr>
      <w:r>
        <w:rPr>
          <w:b/>
          <w:bCs/>
          <w:sz w:val="26"/>
          <w:szCs w:val="26"/>
          <w:rtl/>
        </w:rPr>
        <w:t>3. מבנה הכתבה: כתבו את התפקיד של כל פסקה בכמה מילים.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היכן בטקסט</w:t>
            </w:r>
          </w:p>
        </w:tc>
        <w:tc>
          <w:tcPr>
            <w:tcW w:type="dxa" w:w="4989"/>
            <w:shd w:val="clear" w:color="auto" w:fill="c2410c"/>
          </w:tcPr>
          <w:p>
            <w:pPr>
              <w:bidi/>
              <w:spacing w:before="0" w:after="40"/>
              <w:jc w:val="both"/>
            </w:pPr>
            <w:r>
              <w:rPr>
                <w:b/>
                <w:bCs/>
                <w:color w:val="FFFFFF"/>
                <w:rtl/>
              </w:rPr>
              <w:t>תפקיד הפסקה</w:t>
            </w:r>
          </w:p>
        </w:tc>
      </w:tr>
      <w:tr>
        <w:tc>
          <w:tcPr>
            <w:tcW w:type="dxa" w:w="4989"/>
          </w:tcPr>
          <w:p>
            <w:pPr>
              <w:bidi/>
              <w:spacing w:before="0" w:after="40"/>
              <w:jc w:val="both"/>
            </w:pPr>
            <w:r>
              <w:rPr>
                <w:rtl/>
              </w:rPr>
              <w:t>בשורות 5–12</w:t>
            </w:r>
          </w:p>
        </w:tc>
        <w:tc>
          <w:tcPr>
            <w:tcW w:type="dxa" w:w="4989"/>
          </w:tcPr>
          <w:p>
            <w:pPr>
              <w:bidi/>
              <w:spacing w:before="0" w:after="40"/>
              <w:jc w:val="both"/>
            </w:pPr>
            <w:r>
              <w:rPr>
                <w:color w:val="0F7A4F"/>
                <w:rtl/>
              </w:rPr>
              <w:t>הסבר מדעי: השעון הביולוגי והמלטונין</w:t>
            </w:r>
          </w:p>
        </w:tc>
      </w:tr>
      <w:tr>
        <w:tc>
          <w:tcPr>
            <w:tcW w:type="dxa" w:w="4989"/>
          </w:tcPr>
          <w:p>
            <w:pPr>
              <w:bidi/>
              <w:spacing w:before="0" w:after="40"/>
              <w:jc w:val="both"/>
            </w:pPr>
            <w:r>
              <w:rPr>
                <w:rtl/>
              </w:rPr>
              <w:t>בשורות 13–16</w:t>
            </w:r>
          </w:p>
        </w:tc>
        <w:tc>
          <w:tcPr>
            <w:tcW w:type="dxa" w:w="4989"/>
          </w:tcPr>
          <w:p>
            <w:pPr>
              <w:bidi/>
              <w:spacing w:before="0" w:after="40"/>
              <w:jc w:val="both"/>
            </w:pPr>
            <w:r>
              <w:rPr>
                <w:color w:val="0F7A4F"/>
                <w:rtl/>
              </w:rPr>
              <w:t>הצגת הבעיה: פער בין שעת ההירדמות לשעת ההשכמה – חוסר שינה</w:t>
            </w:r>
          </w:p>
        </w:tc>
      </w:tr>
      <w:tr>
        <w:tc>
          <w:tcPr>
            <w:tcW w:type="dxa" w:w="4989"/>
          </w:tcPr>
          <w:p>
            <w:pPr>
              <w:bidi/>
              <w:spacing w:before="0" w:after="40"/>
              <w:jc w:val="both"/>
            </w:pPr>
            <w:r>
              <w:rPr>
                <w:rtl/>
              </w:rPr>
              <w:t>בשורות 17–24</w:t>
            </w:r>
          </w:p>
        </w:tc>
        <w:tc>
          <w:tcPr>
            <w:tcW w:type="dxa" w:w="4989"/>
          </w:tcPr>
          <w:p>
            <w:pPr>
              <w:bidi/>
              <w:spacing w:before="0" w:after="40"/>
              <w:jc w:val="both"/>
            </w:pPr>
            <w:r>
              <w:rPr>
                <w:color w:val="0F7A4F"/>
                <w:rtl/>
              </w:rPr>
              <w:t>השלכות המחסור בשינה (ריכוז, מצב רוח, בטיחות)</w:t>
            </w:r>
          </w:p>
        </w:tc>
      </w:tr>
      <w:tr>
        <w:tc>
          <w:tcPr>
            <w:tcW w:type="dxa" w:w="4989"/>
          </w:tcPr>
          <w:p>
            <w:pPr>
              <w:bidi/>
              <w:spacing w:before="0" w:after="40"/>
              <w:jc w:val="both"/>
            </w:pPr>
            <w:r>
              <w:rPr>
                <w:rtl/>
              </w:rPr>
              <w:t>בשורות 25–30</w:t>
            </w:r>
          </w:p>
        </w:tc>
        <w:tc>
          <w:tcPr>
            <w:tcW w:type="dxa" w:w="4989"/>
          </w:tcPr>
          <w:p>
            <w:pPr>
              <w:bidi/>
              <w:spacing w:before="0" w:after="40"/>
              <w:jc w:val="both"/>
            </w:pPr>
            <w:r>
              <w:rPr>
                <w:color w:val="0F7A4F"/>
                <w:rtl/>
              </w:rPr>
              <w:t>גורם שמחמיר את הבעיה: המסכים</w:t>
            </w:r>
          </w:p>
        </w:tc>
      </w:tr>
      <w:tr>
        <w:tc>
          <w:tcPr>
            <w:tcW w:type="dxa" w:w="4989"/>
          </w:tcPr>
          <w:p>
            <w:pPr>
              <w:bidi/>
              <w:spacing w:before="0" w:after="40"/>
              <w:jc w:val="both"/>
            </w:pPr>
            <w:r>
              <w:rPr>
                <w:rtl/>
              </w:rPr>
              <w:t>בשורות 31–38</w:t>
            </w:r>
          </w:p>
        </w:tc>
        <w:tc>
          <w:tcPr>
            <w:tcW w:type="dxa" w:w="4989"/>
          </w:tcPr>
          <w:p>
            <w:pPr>
              <w:bidi/>
              <w:spacing w:before="0" w:after="40"/>
              <w:jc w:val="both"/>
            </w:pPr>
            <w:r>
              <w:rPr>
                <w:color w:val="0F7A4F"/>
                <w:rtl/>
              </w:rPr>
              <w:t>פתרון מערכתי – שינוי שעת הלימודים – וקשייו</w:t>
            </w:r>
          </w:p>
        </w:tc>
      </w:tr>
      <w:tr>
        <w:tc>
          <w:tcPr>
            <w:tcW w:type="dxa" w:w="4989"/>
          </w:tcPr>
          <w:p>
            <w:pPr>
              <w:bidi/>
              <w:spacing w:before="0" w:after="40"/>
              <w:jc w:val="both"/>
            </w:pPr>
            <w:r>
              <w:rPr>
                <w:rtl/>
              </w:rPr>
              <w:t>בשורות 39–43</w:t>
            </w:r>
          </w:p>
        </w:tc>
        <w:tc>
          <w:tcPr>
            <w:tcW w:type="dxa" w:w="4989"/>
          </w:tcPr>
          <w:p>
            <w:pPr>
              <w:bidi/>
              <w:spacing w:before="0" w:after="40"/>
              <w:jc w:val="both"/>
            </w:pPr>
            <w:r>
              <w:rPr>
                <w:color w:val="0F7A4F"/>
                <w:rtl/>
              </w:rPr>
              <w:t>פתרונות אישיים וסיכום</w:t>
            </w:r>
          </w:p>
        </w:tc>
      </w:tr>
    </w:tbl>
    <w:p>
      <w:pPr>
        <w:bidi/>
        <w:spacing w:before="0" w:after="40"/>
        <w:jc w:val="both"/>
      </w:pPr>
    </w:p>
    <w:p>
      <w:pPr>
        <w:bidi/>
        <w:spacing w:before="160" w:after="60"/>
        <w:jc w:val="both"/>
      </w:pPr>
      <w:r>
        <w:rPr>
          <w:b/>
          <w:bCs/>
          <w:sz w:val="26"/>
          <w:szCs w:val="26"/>
          <w:rtl/>
        </w:rPr>
        <w:t>4. קשרים לוגיים: כתבו את הקשר הלוגי שמבטאת כל מילת קישור, והציעו מילת קישור אחרת באותו קשר. (5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מילת הקישור</w:t>
            </w:r>
          </w:p>
        </w:tc>
        <w:tc>
          <w:tcPr>
            <w:tcW w:type="dxa" w:w="2494"/>
            <w:shd w:val="clear" w:color="auto" w:fill="c2410c"/>
          </w:tcPr>
          <w:p>
            <w:pPr>
              <w:bidi/>
              <w:spacing w:before="0" w:after="40"/>
              <w:jc w:val="both"/>
            </w:pPr>
            <w:r>
              <w:rPr>
                <w:b/>
                <w:bCs/>
                <w:color w:val="FFFFFF"/>
                <w:rtl/>
              </w:rPr>
              <w:t>היכן בטקסט</w:t>
            </w:r>
          </w:p>
        </w:tc>
        <w:tc>
          <w:tcPr>
            <w:tcW w:type="dxa" w:w="2494"/>
            <w:shd w:val="clear" w:color="auto" w:fill="c2410c"/>
          </w:tcPr>
          <w:p>
            <w:pPr>
              <w:bidi/>
              <w:spacing w:before="0" w:after="40"/>
              <w:jc w:val="both"/>
            </w:pPr>
            <w:r>
              <w:rPr>
                <w:b/>
                <w:bCs/>
                <w:color w:val="FFFFFF"/>
                <w:rtl/>
              </w:rPr>
              <w:t>הקשר הלוגי</w:t>
            </w:r>
          </w:p>
        </w:tc>
        <w:tc>
          <w:tcPr>
            <w:tcW w:type="dxa" w:w="2494"/>
            <w:shd w:val="clear" w:color="auto" w:fill="c2410c"/>
          </w:tcPr>
          <w:p>
            <w:pPr>
              <w:bidi/>
              <w:spacing w:before="0" w:after="40"/>
              <w:jc w:val="both"/>
            </w:pPr>
            <w:r>
              <w:rPr>
                <w:b/>
                <w:bCs/>
                <w:color w:val="FFFFFF"/>
                <w:rtl/>
              </w:rPr>
              <w:t>מילה חלופית</w:t>
            </w:r>
          </w:p>
        </w:tc>
      </w:tr>
      <w:tr>
        <w:tc>
          <w:tcPr>
            <w:tcW w:type="dxa" w:w="2494"/>
          </w:tcPr>
          <w:p>
            <w:pPr>
              <w:bidi/>
              <w:spacing w:before="0" w:after="40"/>
              <w:jc w:val="both"/>
            </w:pPr>
            <w:r>
              <w:rPr>
                <w:rtl/>
              </w:rPr>
              <w:t>משום כך</w:t>
            </w:r>
          </w:p>
        </w:tc>
        <w:tc>
          <w:tcPr>
            <w:tcW w:type="dxa" w:w="2494"/>
          </w:tcPr>
          <w:p>
            <w:pPr>
              <w:bidi/>
              <w:spacing w:before="0" w:after="40"/>
              <w:jc w:val="both"/>
            </w:pPr>
            <w:r>
              <w:rPr>
                <w:rtl/>
              </w:rPr>
              <w:t>בשורות 5–12</w:t>
            </w:r>
          </w:p>
        </w:tc>
        <w:tc>
          <w:tcPr>
            <w:tcW w:type="dxa" w:w="2494"/>
          </w:tcPr>
          <w:p>
            <w:pPr>
              <w:bidi/>
              <w:spacing w:before="0" w:after="40"/>
              <w:jc w:val="both"/>
            </w:pPr>
            <w:r>
              <w:rPr>
                <w:color w:val="0F7A4F"/>
                <w:rtl/>
              </w:rPr>
              <w:t>תוצאה</w:t>
            </w:r>
          </w:p>
        </w:tc>
        <w:tc>
          <w:tcPr>
            <w:tcW w:type="dxa" w:w="2494"/>
          </w:tcPr>
          <w:p>
            <w:pPr>
              <w:bidi/>
              <w:spacing w:before="0" w:after="40"/>
              <w:jc w:val="both"/>
            </w:pPr>
            <w:r>
              <w:rPr>
                <w:color w:val="0F7A4F"/>
                <w:rtl/>
              </w:rPr>
              <w:t>לכן / לפיכך</w:t>
            </w:r>
          </w:p>
        </w:tc>
      </w:tr>
      <w:tr>
        <w:tc>
          <w:tcPr>
            <w:tcW w:type="dxa" w:w="2494"/>
          </w:tcPr>
          <w:p>
            <w:pPr>
              <w:bidi/>
              <w:spacing w:before="0" w:after="40"/>
              <w:jc w:val="both"/>
            </w:pPr>
            <w:r>
              <w:rPr>
                <w:rtl/>
              </w:rPr>
              <w:t>לעומת זאת</w:t>
            </w:r>
          </w:p>
        </w:tc>
        <w:tc>
          <w:tcPr>
            <w:tcW w:type="dxa" w:w="2494"/>
          </w:tcPr>
          <w:p>
            <w:pPr>
              <w:bidi/>
              <w:spacing w:before="0" w:after="40"/>
              <w:jc w:val="both"/>
            </w:pPr>
            <w:r>
              <w:rPr>
                <w:rtl/>
              </w:rPr>
              <w:t>בשורות 13–16</w:t>
            </w:r>
          </w:p>
        </w:tc>
        <w:tc>
          <w:tcPr>
            <w:tcW w:type="dxa" w:w="2494"/>
          </w:tcPr>
          <w:p>
            <w:pPr>
              <w:bidi/>
              <w:spacing w:before="0" w:after="40"/>
              <w:jc w:val="both"/>
            </w:pPr>
            <w:r>
              <w:rPr>
                <w:color w:val="0F7A4F"/>
                <w:rtl/>
              </w:rPr>
              <w:t>ניגוד</w:t>
            </w:r>
          </w:p>
        </w:tc>
        <w:tc>
          <w:tcPr>
            <w:tcW w:type="dxa" w:w="2494"/>
          </w:tcPr>
          <w:p>
            <w:pPr>
              <w:bidi/>
              <w:spacing w:before="0" w:after="40"/>
              <w:jc w:val="both"/>
            </w:pPr>
            <w:r>
              <w:rPr>
                <w:color w:val="0F7A4F"/>
                <w:rtl/>
              </w:rPr>
              <w:t>אולם / ואילו</w:t>
            </w:r>
          </w:p>
        </w:tc>
      </w:tr>
      <w:tr>
        <w:tc>
          <w:tcPr>
            <w:tcW w:type="dxa" w:w="2494"/>
          </w:tcPr>
          <w:p>
            <w:pPr>
              <w:bidi/>
              <w:spacing w:before="0" w:after="40"/>
              <w:jc w:val="both"/>
            </w:pPr>
            <w:r>
              <w:rPr>
                <w:rtl/>
              </w:rPr>
              <w:t>יתרה מזו</w:t>
            </w:r>
          </w:p>
        </w:tc>
        <w:tc>
          <w:tcPr>
            <w:tcW w:type="dxa" w:w="2494"/>
          </w:tcPr>
          <w:p>
            <w:pPr>
              <w:bidi/>
              <w:spacing w:before="0" w:after="40"/>
              <w:jc w:val="both"/>
            </w:pPr>
            <w:r>
              <w:rPr>
                <w:rtl/>
              </w:rPr>
              <w:t>בשורות 17–24</w:t>
            </w:r>
          </w:p>
        </w:tc>
        <w:tc>
          <w:tcPr>
            <w:tcW w:type="dxa" w:w="2494"/>
          </w:tcPr>
          <w:p>
            <w:pPr>
              <w:bidi/>
              <w:spacing w:before="0" w:after="40"/>
              <w:jc w:val="both"/>
            </w:pPr>
            <w:r>
              <w:rPr>
                <w:color w:val="0F7A4F"/>
                <w:rtl/>
              </w:rPr>
              <w:t>הוספה (חיזוק)</w:t>
            </w:r>
          </w:p>
        </w:tc>
        <w:tc>
          <w:tcPr>
            <w:tcW w:type="dxa" w:w="2494"/>
          </w:tcPr>
          <w:p>
            <w:pPr>
              <w:bidi/>
              <w:spacing w:before="0" w:after="40"/>
              <w:jc w:val="both"/>
            </w:pPr>
            <w:r>
              <w:rPr>
                <w:color w:val="0F7A4F"/>
                <w:rtl/>
              </w:rPr>
              <w:t>נוסף על כך / זאת ועוד</w:t>
            </w:r>
          </w:p>
        </w:tc>
      </w:tr>
      <w:tr>
        <w:tc>
          <w:tcPr>
            <w:tcW w:type="dxa" w:w="2494"/>
          </w:tcPr>
          <w:p>
            <w:pPr>
              <w:bidi/>
              <w:spacing w:before="0" w:after="40"/>
              <w:jc w:val="both"/>
            </w:pPr>
            <w:r>
              <w:rPr>
                <w:rtl/>
              </w:rPr>
              <w:t>אף על פי ש</w:t>
            </w:r>
          </w:p>
        </w:tc>
        <w:tc>
          <w:tcPr>
            <w:tcW w:type="dxa" w:w="2494"/>
          </w:tcPr>
          <w:p>
            <w:pPr>
              <w:bidi/>
              <w:spacing w:before="0" w:after="40"/>
              <w:jc w:val="both"/>
            </w:pPr>
            <w:r>
              <w:rPr>
                <w:rtl/>
              </w:rPr>
              <w:t>בשורות 17–24</w:t>
            </w:r>
          </w:p>
        </w:tc>
        <w:tc>
          <w:tcPr>
            <w:tcW w:type="dxa" w:w="2494"/>
          </w:tcPr>
          <w:p>
            <w:pPr>
              <w:bidi/>
              <w:spacing w:before="0" w:after="40"/>
              <w:jc w:val="both"/>
            </w:pPr>
            <w:r>
              <w:rPr>
                <w:color w:val="0F7A4F"/>
                <w:rtl/>
              </w:rPr>
              <w:t>ויתור</w:t>
            </w:r>
          </w:p>
        </w:tc>
        <w:tc>
          <w:tcPr>
            <w:tcW w:type="dxa" w:w="2494"/>
          </w:tcPr>
          <w:p>
            <w:pPr>
              <w:bidi/>
              <w:spacing w:before="0" w:after="40"/>
              <w:jc w:val="both"/>
            </w:pPr>
            <w:r>
              <w:rPr>
                <w:color w:val="0F7A4F"/>
                <w:rtl/>
              </w:rPr>
              <w:t>למרות ש / אף ש</w:t>
            </w:r>
          </w:p>
        </w:tc>
      </w:tr>
      <w:tr>
        <w:tc>
          <w:tcPr>
            <w:tcW w:type="dxa" w:w="2494"/>
          </w:tcPr>
          <w:p>
            <w:pPr>
              <w:bidi/>
              <w:spacing w:before="0" w:after="40"/>
              <w:jc w:val="both"/>
            </w:pPr>
            <w:r>
              <w:rPr>
                <w:rtl/>
              </w:rPr>
              <w:t>אם כן</w:t>
            </w:r>
          </w:p>
        </w:tc>
        <w:tc>
          <w:tcPr>
            <w:tcW w:type="dxa" w:w="2494"/>
          </w:tcPr>
          <w:p>
            <w:pPr>
              <w:bidi/>
              <w:spacing w:before="0" w:after="40"/>
              <w:jc w:val="both"/>
            </w:pPr>
            <w:r>
              <w:rPr>
                <w:rtl/>
              </w:rPr>
              <w:t>בשורות 17–24</w:t>
            </w:r>
          </w:p>
        </w:tc>
        <w:tc>
          <w:tcPr>
            <w:tcW w:type="dxa" w:w="2494"/>
          </w:tcPr>
          <w:p>
            <w:pPr>
              <w:bidi/>
              <w:spacing w:before="0" w:after="40"/>
              <w:jc w:val="both"/>
            </w:pPr>
            <w:r>
              <w:rPr>
                <w:color w:val="0F7A4F"/>
                <w:rtl/>
              </w:rPr>
              <w:t>מסקנה</w:t>
            </w:r>
          </w:p>
        </w:tc>
        <w:tc>
          <w:tcPr>
            <w:tcW w:type="dxa" w:w="2494"/>
          </w:tcPr>
          <w:p>
            <w:pPr>
              <w:bidi/>
              <w:spacing w:before="0" w:after="40"/>
              <w:jc w:val="both"/>
            </w:pPr>
            <w:r>
              <w:rPr>
                <w:color w:val="0F7A4F"/>
                <w:rtl/>
              </w:rPr>
              <w:t>אפוא / לכן</w:t>
            </w:r>
          </w:p>
        </w:tc>
      </w:tr>
    </w:tbl>
    <w:p>
      <w:pPr>
        <w:bidi/>
        <w:spacing w:before="0" w:after="40"/>
        <w:jc w:val="both"/>
      </w:pPr>
    </w:p>
    <w:p>
      <w:pPr>
        <w:bidi/>
        <w:spacing w:before="160" w:after="60"/>
        <w:jc w:val="both"/>
      </w:pPr>
      <w:r>
        <w:rPr>
          <w:b/>
          <w:bCs/>
          <w:sz w:val="26"/>
          <w:szCs w:val="26"/>
          <w:rtl/>
        </w:rPr>
        <w:t>5. משמעות בהקשר: התאימו כל מילה או ביטוי למשמעותם בכתבה. (4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טור א</w:t>
            </w:r>
          </w:p>
        </w:tc>
        <w:tc>
          <w:tcPr>
            <w:tcW w:type="dxa" w:w="4989"/>
            <w:shd w:val="clear" w:color="auto" w:fill="c2410c"/>
          </w:tcPr>
          <w:p>
            <w:pPr>
              <w:bidi/>
              <w:spacing w:before="0" w:after="40"/>
              <w:jc w:val="both"/>
            </w:pPr>
            <w:r>
              <w:rPr>
                <w:b/>
                <w:bCs/>
                <w:color w:val="FFFFFF"/>
                <w:rtl/>
              </w:rPr>
              <w:t>טור ב</w:t>
            </w:r>
          </w:p>
        </w:tc>
      </w:tr>
      <w:tr>
        <w:tc>
          <w:tcPr>
            <w:tcW w:type="dxa" w:w="4989"/>
          </w:tcPr>
          <w:p>
            <w:pPr>
              <w:bidi/>
              <w:spacing w:before="0" w:after="40"/>
              <w:jc w:val="both"/>
            </w:pPr>
            <w:r>
              <w:rPr>
                <w:rtl/>
              </w:rPr>
              <w:t>1. גזרת גורל (בשורות 39–43)</w:t>
            </w:r>
          </w:p>
        </w:tc>
        <w:tc>
          <w:tcPr>
            <w:tcW w:type="dxa" w:w="4989"/>
          </w:tcPr>
          <w:p>
            <w:pPr>
              <w:bidi/>
              <w:spacing w:before="0" w:after="40"/>
              <w:jc w:val="both"/>
            </w:pPr>
            <w:r>
              <w:rPr>
                <w:rtl/>
              </w:rPr>
              <w:t>[3] דוחה ומאט</w:t>
            </w:r>
          </w:p>
        </w:tc>
      </w:tr>
      <w:tr>
        <w:tc>
          <w:tcPr>
            <w:tcW w:type="dxa" w:w="4989"/>
          </w:tcPr>
          <w:p>
            <w:pPr>
              <w:bidi/>
              <w:spacing w:before="0" w:after="40"/>
              <w:jc w:val="both"/>
            </w:pPr>
            <w:r>
              <w:rPr>
                <w:rtl/>
              </w:rPr>
              <w:t>2. מתמשך (בשורות 13–16)</w:t>
            </w:r>
          </w:p>
        </w:tc>
        <w:tc>
          <w:tcPr>
            <w:tcW w:type="dxa" w:w="4989"/>
          </w:tcPr>
          <w:p>
            <w:pPr>
              <w:bidi/>
              <w:spacing w:before="0" w:after="40"/>
              <w:jc w:val="both"/>
            </w:pPr>
            <w:r>
              <w:rPr>
                <w:rtl/>
              </w:rPr>
              <w:t>[4] עשייה קבועה לאורך זמן</w:t>
            </w:r>
          </w:p>
        </w:tc>
      </w:tr>
      <w:tr>
        <w:tc>
          <w:tcPr>
            <w:tcW w:type="dxa" w:w="4989"/>
          </w:tcPr>
          <w:p>
            <w:pPr>
              <w:bidi/>
              <w:spacing w:before="0" w:after="40"/>
              <w:jc w:val="both"/>
            </w:pPr>
            <w:r>
              <w:rPr>
                <w:rtl/>
              </w:rPr>
              <w:t>3. מעכב (בשורות 25–30)</w:t>
            </w:r>
          </w:p>
        </w:tc>
        <w:tc>
          <w:tcPr>
            <w:tcW w:type="dxa" w:w="4989"/>
          </w:tcPr>
          <w:p>
            <w:pPr>
              <w:bidi/>
              <w:spacing w:before="0" w:after="40"/>
              <w:jc w:val="both"/>
            </w:pPr>
            <w:r>
              <w:rPr>
                <w:rtl/>
              </w:rPr>
              <w:t>[1] דבר שאי אפשר לשנות</w:t>
            </w:r>
          </w:p>
        </w:tc>
      </w:tr>
      <w:tr>
        <w:tc>
          <w:tcPr>
            <w:tcW w:type="dxa" w:w="4989"/>
          </w:tcPr>
          <w:p>
            <w:pPr>
              <w:bidi/>
              <w:spacing w:before="0" w:after="40"/>
              <w:jc w:val="both"/>
            </w:pPr>
            <w:r>
              <w:rPr>
                <w:rtl/>
              </w:rPr>
              <w:t>4. התמדה (בשורות 39–43)</w:t>
            </w:r>
          </w:p>
        </w:tc>
        <w:tc>
          <w:tcPr>
            <w:tcW w:type="dxa" w:w="4989"/>
          </w:tcPr>
          <w:p>
            <w:pPr>
              <w:bidi/>
              <w:spacing w:before="0" w:after="40"/>
              <w:jc w:val="both"/>
            </w:pPr>
            <w:r>
              <w:rPr>
                <w:rtl/>
              </w:rPr>
              <w:t>[2] שנמשך זמן רב</w:t>
            </w:r>
          </w:p>
        </w:tc>
      </w:tr>
    </w:tbl>
    <w:p>
      <w:pPr>
        <w:bidi/>
        <w:spacing w:before="0" w:after="40"/>
        <w:jc w:val="both"/>
      </w:pPr>
    </w:p>
    <w:p>
      <w:pPr>
        <w:bidi/>
        <w:spacing w:before="160" w:after="60"/>
        <w:jc w:val="both"/>
      </w:pPr>
      <w:r>
        <w:rPr>
          <w:b/>
          <w:bCs/>
          <w:sz w:val="26"/>
          <w:szCs w:val="26"/>
          <w:rtl/>
        </w:rPr>
        <w:t>6. מיזוג מידע: הסבירו כיצד נתוני הסקר (טקסט 2) מחזקים שתיים מן הטענות שבכתבה. לכל טענה ציינו היכן היא מופיעה בכתבה (למשל בשורות 13–16, בשורות 25–30). (5 נק')</w:t>
      </w:r>
    </w:p>
    <w:p>
      <w:pPr>
        <w:bidi/>
        <w:spacing w:before="0" w:after="80"/>
        <w:jc w:val="both"/>
      </w:pPr>
      <w:r>
        <w:rPr>
          <w:color w:val="0F7A4F"/>
          <w:rtl/>
        </w:rPr>
        <w:t>תשובה אפשרית: טענה 1 (בשורות 13–16): בני נוער ישנים פחות מהמומלץ – בסקר 65% ישנים פחות משמונה שעות (2.5). טענה 2 (בשורות 25–30): המסכים מרחיקים את השינה – 72% משתמשים בטלפון במיטה, ובקרבם שיעור הישנים פחות משבע שעות כמעט כפול (2.5). אפשר גם: בשורות 17–24 קושי בריכוז – המנהלים מדווחים על קושי להתרכז בשיעור הראשון.</w:t>
      </w:r>
    </w:p>
    <w:p>
      <w:pPr>
        <w:bidi/>
        <w:spacing w:before="160" w:after="60"/>
        <w:jc w:val="both"/>
      </w:pPr>
      <w:r>
        <w:rPr>
          <w:b/>
          <w:bCs/>
          <w:sz w:val="26"/>
          <w:szCs w:val="26"/>
          <w:rtl/>
        </w:rPr>
        <w:t>7. בשורות 17–24 מתואר ניסוי בתרגילי חשבון. מה מוסיף הניסוי לטענה שמחסור בשינה פוגע בתפקוד? ומה אפשר ללמוד מן הפרט שהתלמידים «העריכו שתפקודם לא נפגע»? (4 נק')</w:t>
      </w:r>
    </w:p>
    <w:p>
      <w:pPr>
        <w:bidi/>
        <w:spacing w:before="0" w:after="80"/>
        <w:jc w:val="both"/>
      </w:pPr>
      <w:r>
        <w:rPr>
          <w:color w:val="0F7A4F"/>
          <w:rtl/>
        </w:rPr>
        <w:t>תשובה אפשרית: הניסוי מוסיף ראיה מדעית מדודה (יותר טעויות, יותר זמן) לטענה, ולא רק קביעה כללית (2). הפרט מלמד שמי שחסר לו שינה אינו מרגיש בפגיעה, ולכן הסכנה גדולה יותר – אי אפשר לסמוך על התחושה האישית (2).</w:t>
      </w:r>
    </w:p>
    <w:p>
      <w:pPr>
        <w:bidi/>
        <w:spacing w:before="160" w:after="60"/>
        <w:jc w:val="both"/>
      </w:pPr>
      <w:r>
        <w:rPr>
          <w:b/>
          <w:bCs/>
          <w:sz w:val="26"/>
          <w:szCs w:val="26"/>
          <w:rtl/>
        </w:rPr>
        <w:t>8. הערכה ביקורתית: האם הכותב מציג את הצעת הלימודים המאוחרים (בשורות 31–38) באופן מאוזן? נמקו בשתי ראיות מן הטקסט, וכתבו אם לדעתכם הדבר מחזק או מחליש את הכתבה. (4 נק')</w:t>
      </w:r>
    </w:p>
    <w:p>
      <w:pPr>
        <w:bidi/>
        <w:spacing w:before="0" w:after="80"/>
        <w:jc w:val="both"/>
      </w:pPr>
      <w:r>
        <w:rPr>
          <w:color w:val="0F7A4F"/>
          <w:rtl/>
        </w:rPr>
        <w:t>תשובה אפשרית: כן, באופן מאוזן יחסית (1): הוא מציג יתרונות (נוכחות, ציונים, מצב רוח) וגם קשיים (הורים העובדים מוקדם, הסעות וחוגים) ואת החשש שהתלמידים יירדמו מאוחר יותר, ומשיב עליו בנתון (2). הדבר מחזק את הכתבה – הקורא סומך יותר על כותב שאינו מסתיר את הקשיים (1). תשובה אחרת מנומקת היטב תתקבל.</w:t>
      </w:r>
    </w:p>
    <w:p>
      <w:pPr>
        <w:bidi/>
        <w:spacing w:before="160" w:after="80"/>
        <w:jc w:val="both"/>
      </w:pPr>
      <w:r>
        <w:rPr>
          <w:rFonts w:ascii="Tahoma" w:hAnsi="Tahoma" w:cs="Tahoma"/>
          <w:b/>
          <w:bCs/>
          <w:color w:val="C2410C"/>
          <w:sz w:val="32"/>
          <w:szCs w:val="32"/>
          <w:rtl/>
        </w:rPr>
        <w:t>חלק ב: הבעה בכתב (25 נק')</w:t>
      </w:r>
    </w:p>
    <w:p>
      <w:pPr>
        <w:bidi/>
        <w:spacing w:before="160" w:after="60"/>
        <w:jc w:val="both"/>
      </w:pPr>
      <w:r>
        <w:rPr>
          <w:b/>
          <w:bCs/>
          <w:sz w:val="26"/>
          <w:szCs w:val="26"/>
          <w:rtl/>
        </w:rPr>
        <w:t>1. סיכום (60–80 מילים): סכמו את הפסקאות המופיעות בשורות 17–30 – מה המחיר של מחסור בשינה, וכיצד המסכים מחמירים את הבעיה. כתבו במילים שלכם, בלי דוגמאות. (10 נק')</w:t>
      </w:r>
    </w:p>
    <w:p>
      <w:pPr>
        <w:bidi/>
        <w:spacing w:before="0" w:after="80"/>
        <w:jc w:val="both"/>
      </w:pPr>
      <w:r>
        <w:rPr>
          <w:color w:val="0F7A4F"/>
          <w:rtl/>
        </w:rPr>
        <w:t>תשובה אפשרית: מחוון (10 נק'): תוכן 5 – השלכות על ריכוז וזיכרון, על מצב הרוח ועל הבטיחות (2); האור הכחול מעכב את המלטונין (1); התוכן במסכים מעורר את המוח ויוצר מעגל (2). הכללה וניסוח עצמי בלי דוגמאות ובלי העתקה (3). אורך ורצף במילות קישור (1). לשון תקינה (1).</w:t>
      </w:r>
    </w:p>
    <w:p>
      <w:pPr>
        <w:bidi/>
        <w:spacing w:before="160" w:after="60"/>
        <w:jc w:val="both"/>
      </w:pPr>
      <w:r>
        <w:rPr>
          <w:b/>
          <w:bCs/>
          <w:sz w:val="26"/>
          <w:szCs w:val="26"/>
          <w:rtl/>
        </w:rPr>
        <w:t>2. כתיבה טיעונית (180–220 מילים): מועצת התלמידים מציעה שהלימודים בבית ספרכם יתחילו בשעה שמונה וחצי. כתבו מכתב למנהל בית הספר ובו הביעו את עמדתכם. כתבו פנייה וחתימה, טענה ברורה, שני נימוקים (לפחות אחד מן הטקסטים), טענה נגדית והפרכתה, וסיום. (15 נק')</w:t>
      </w:r>
    </w:p>
    <w:p>
      <w:pPr>
        <w:bidi/>
        <w:spacing w:before="0" w:after="80"/>
        <w:jc w:val="both"/>
      </w:pPr>
      <w:r>
        <w:rPr>
          <w:color w:val="0F7A4F"/>
          <w:rtl/>
        </w:rPr>
        <w:t>תשובה אפשרית: מחוון (15 נק'): תוכן 7 – עמדה ברורה (1), שני נימוקים מפותחים, אחד לפחות מן הטקסטים (3), טענה נגדית והפרכה (2), התאמה לנמען – פנייה מנומסת למנהל (1). מבנה 4 – פנייה וחתימה (1), פתיחה, פסקאות וסיום (2), מילות קישור (1). לשון 4 – משלב רשמי (2), כתיב, התאם ופיסוק (2).</w:t>
      </w:r>
    </w:p>
    <w:p>
      <w:pPr>
        <w:bidi/>
        <w:spacing w:before="160" w:after="80"/>
        <w:jc w:val="both"/>
      </w:pPr>
      <w:r>
        <w:rPr>
          <w:rFonts w:ascii="Tahoma" w:hAnsi="Tahoma" w:cs="Tahoma"/>
          <w:b/>
          <w:bCs/>
          <w:color w:val="C2410C"/>
          <w:sz w:val="32"/>
          <w:szCs w:val="32"/>
          <w:rtl/>
        </w:rPr>
        <w:t>חלק ג: תחביר (20 נק')</w:t>
      </w:r>
    </w:p>
    <w:p>
      <w:pPr>
        <w:bidi/>
        <w:spacing w:before="160" w:after="60"/>
        <w:jc w:val="both"/>
      </w:pPr>
      <w:r>
        <w:rPr>
          <w:b/>
          <w:bCs/>
          <w:sz w:val="26"/>
          <w:szCs w:val="26"/>
          <w:rtl/>
        </w:rPr>
        <w:t>1. ציינו את התפקיד התחבירי של הצירוף שבמירכאות «» (נושא, נשוא, מושא ישיר, מושא עקיף, לוואי, תיאור – כתבו את סוג התיאור). (10 נק')</w:t>
      </w:r>
    </w:p>
    <w:p>
      <w:pPr>
        <w:bidi/>
        <w:spacing w:before="0" w:after="100"/>
        <w:jc w:val="both"/>
      </w:pPr>
      <w:r>
        <w:rPr>
          <w:rtl/>
        </w:rPr>
        <w:t>א. «המוח» מפריש חומר בשם מלטונין.  ← נושא</w:t>
      </w:r>
    </w:p>
    <w:p>
      <w:pPr>
        <w:bidi/>
        <w:spacing w:before="0" w:after="100"/>
        <w:jc w:val="both"/>
      </w:pPr>
      <w:r>
        <w:rPr>
          <w:rtl/>
        </w:rPr>
        <w:t>ב. המוח מפריש «חומר» בשם מלטונין.  ← מושא ישיר</w:t>
      </w:r>
    </w:p>
    <w:p>
      <w:pPr>
        <w:bidi/>
        <w:spacing w:before="0" w:after="100"/>
        <w:jc w:val="both"/>
      </w:pPr>
      <w:r>
        <w:rPr>
          <w:rtl/>
        </w:rPr>
        <w:t>ג. השינה אינה «בזבוז זמן».  ← נשוא (שמני; «אינה» – אוגד)</w:t>
      </w:r>
    </w:p>
    <w:p>
      <w:pPr>
        <w:bidi/>
        <w:spacing w:before="0" w:after="100"/>
        <w:jc w:val="both"/>
      </w:pPr>
      <w:r>
        <w:rPr>
          <w:rtl/>
        </w:rPr>
        <w:t>ד. האור «הכחול» מטעה את המוח.  ← לוואי</w:t>
      </w:r>
    </w:p>
    <w:p>
      <w:pPr>
        <w:bidi/>
        <w:spacing w:before="0" w:after="100"/>
        <w:jc w:val="both"/>
      </w:pPr>
      <w:r>
        <w:rPr>
          <w:rtl/>
        </w:rPr>
        <w:t>ה. «בגיל ההתבגרות» השעון הפנימי משתנה.  ← תיאור זמן</w:t>
      </w:r>
    </w:p>
    <w:p>
      <w:pPr>
        <w:bidi/>
        <w:spacing w:before="0" w:after="100"/>
        <w:jc w:val="both"/>
      </w:pPr>
      <w:r>
        <w:rPr>
          <w:rtl/>
        </w:rPr>
        <w:t>ו. בכל בוקר התלמידים יוצאים «לאור היום».  ← תיאור מקום</w:t>
      </w:r>
    </w:p>
    <w:p>
      <w:pPr>
        <w:bidi/>
        <w:spacing w:before="0" w:after="100"/>
        <w:jc w:val="both"/>
      </w:pPr>
      <w:r>
        <w:rPr>
          <w:rtl/>
        </w:rPr>
        <w:t>ז. נער «בן חמש־עשרה» מרגיש עייף מאוחר.  ← לוואי</w:t>
      </w:r>
    </w:p>
    <w:p>
      <w:pPr>
        <w:bidi/>
        <w:spacing w:before="0" w:after="100"/>
        <w:jc w:val="both"/>
      </w:pPr>
      <w:r>
        <w:rPr>
          <w:rtl/>
        </w:rPr>
        <w:t>ח. «בגלל העייפות» התלמידים אינם מתרכזים.  ← תיאור סיבה</w:t>
      </w:r>
    </w:p>
    <w:p>
      <w:pPr>
        <w:bidi/>
        <w:spacing w:before="0" w:after="100"/>
        <w:jc w:val="both"/>
      </w:pPr>
      <w:r>
        <w:rPr>
          <w:rtl/>
        </w:rPr>
        <w:t>ט. הרופאים ממליצים «על שינה של שמונה שעות».  ← מושא עקיף</w:t>
      </w:r>
    </w:p>
    <w:p>
      <w:pPr>
        <w:bidi/>
        <w:spacing w:before="0" w:after="100"/>
        <w:jc w:val="both"/>
      </w:pPr>
      <w:r>
        <w:rPr>
          <w:rtl/>
        </w:rPr>
        <w:t>י. הנער מתקשה «לפקוח את העיניים».  ← מושא (שם פועל)</w:t>
      </w:r>
    </w:p>
    <w:p>
      <w:pPr>
        <w:bidi/>
        <w:spacing w:before="160" w:after="60"/>
        <w:jc w:val="both"/>
      </w:pPr>
      <w:r>
        <w:rPr>
          <w:b/>
          <w:bCs/>
          <w:sz w:val="26"/>
          <w:szCs w:val="26"/>
          <w:rtl/>
        </w:rPr>
        <w:t>2. קבעו את סוג המשפט: פשוט, מורכב או מאוחה. במשפט מורכב – העתיקו את הפסוקית וכתבו את תפקידה; במשפט מאוחה – כתבו את הקשר הלוגי. (6 נק')</w:t>
      </w:r>
    </w:p>
    <w:p>
      <w:pPr>
        <w:bidi/>
        <w:spacing w:before="0" w:after="100"/>
        <w:jc w:val="both"/>
      </w:pPr>
      <w:r>
        <w:rPr>
          <w:rtl/>
        </w:rPr>
        <w:t>א. כשמחשיך, המוח מפריש מלטונין.  ← מורכב – «כשמחשיך»: פסוקית תיאור זמן</w:t>
      </w:r>
    </w:p>
    <w:p>
      <w:pPr>
        <w:bidi/>
        <w:spacing w:before="0" w:after="100"/>
        <w:jc w:val="both"/>
      </w:pPr>
      <w:r>
        <w:rPr>
          <w:rtl/>
        </w:rPr>
        <w:t>ב. הנער אינו עייף, ולכן הוא מחזיק בטלפון.  ← מאוחה – קשר של תוצאה («ולכן»)</w:t>
      </w:r>
    </w:p>
    <w:p>
      <w:pPr>
        <w:bidi/>
        <w:spacing w:before="0" w:after="100"/>
        <w:jc w:val="both"/>
      </w:pPr>
      <w:r>
        <w:rPr>
          <w:rtl/>
        </w:rPr>
        <w:t>ג. מחקרים מראים שהתמונה מורכבת יותר.  ← מורכב – «שהתמונה מורכבת יותר»: פסוקית מושא</w:t>
      </w:r>
    </w:p>
    <w:p>
      <w:pPr>
        <w:bidi/>
        <w:spacing w:before="160" w:after="60"/>
        <w:jc w:val="both"/>
      </w:pPr>
      <w:r>
        <w:rPr>
          <w:b/>
          <w:bCs/>
          <w:sz w:val="26"/>
          <w:szCs w:val="26"/>
          <w:rtl/>
        </w:rPr>
        <w:t>3. חלקים כוללים: כתבו מהם החלקים הכוללים בכל משפט ומה תפקידם התחבירי. (4 נק')</w:t>
      </w:r>
    </w:p>
    <w:p>
      <w:pPr>
        <w:bidi/>
        <w:spacing w:before="0" w:after="100"/>
        <w:jc w:val="both"/>
      </w:pPr>
      <w:r>
        <w:rPr>
          <w:rtl/>
        </w:rPr>
        <w:t>א. חוסר שינה מגביר עצבנות, מקשה להתרכז ומאט את התגובה.  ← «מגביר», «מקשה», «מאט» – נשואים כוללים</w:t>
      </w:r>
    </w:p>
    <w:p>
      <w:pPr>
        <w:bidi/>
        <w:spacing w:before="0" w:after="100"/>
        <w:jc w:val="both"/>
      </w:pPr>
      <w:r>
        <w:rPr>
          <w:rtl/>
        </w:rPr>
        <w:t>ב. משחקים, סרטונים והודעות מעוררים את המוח.  ← «משחקים», «סרטונים», «הודעות» – נושאים כוללים</w:t>
      </w:r>
    </w:p>
    <w:p>
      <w:pPr>
        <w:bidi/>
        <w:spacing w:before="160" w:after="80"/>
        <w:jc w:val="both"/>
      </w:pPr>
      <w:r>
        <w:rPr>
          <w:rFonts w:ascii="Tahoma" w:hAnsi="Tahoma" w:cs="Tahoma"/>
          <w:b/>
          <w:bCs/>
          <w:color w:val="C2410C"/>
          <w:sz w:val="32"/>
          <w:szCs w:val="32"/>
          <w:rtl/>
        </w:rPr>
        <w:t>חלק ד: מערכת הצורות (20 נק')</w:t>
      </w:r>
    </w:p>
    <w:p>
      <w:pPr>
        <w:bidi/>
        <w:spacing w:before="160" w:after="60"/>
        <w:jc w:val="both"/>
      </w:pPr>
      <w:r>
        <w:rPr>
          <w:b/>
          <w:bCs/>
          <w:sz w:val="26"/>
          <w:szCs w:val="26"/>
          <w:rtl/>
        </w:rPr>
        <w:t>1. כתבו את השורש, הבניין והגזרה של כל פועל מן הכתבה (אם הפועל בשלמים – כתבו «שלמים»). (10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הפועל</w:t>
            </w:r>
          </w:p>
        </w:tc>
        <w:tc>
          <w:tcPr>
            <w:tcW w:type="dxa" w:w="2494"/>
            <w:shd w:val="clear" w:color="auto" w:fill="c2410c"/>
          </w:tcPr>
          <w:p>
            <w:pPr>
              <w:bidi/>
              <w:spacing w:before="0" w:after="40"/>
              <w:jc w:val="both"/>
            </w:pPr>
            <w:r>
              <w:rPr>
                <w:b/>
                <w:bCs/>
                <w:color w:val="FFFFFF"/>
                <w:rtl/>
              </w:rPr>
              <w:t>שורש</w:t>
            </w:r>
          </w:p>
        </w:tc>
        <w:tc>
          <w:tcPr>
            <w:tcW w:type="dxa" w:w="2494"/>
            <w:shd w:val="clear" w:color="auto" w:fill="c2410c"/>
          </w:tcPr>
          <w:p>
            <w:pPr>
              <w:bidi/>
              <w:spacing w:before="0" w:after="40"/>
              <w:jc w:val="both"/>
            </w:pPr>
            <w:r>
              <w:rPr>
                <w:b/>
                <w:bCs/>
                <w:color w:val="FFFFFF"/>
                <w:rtl/>
              </w:rPr>
              <w:t>בניין</w:t>
            </w:r>
          </w:p>
        </w:tc>
        <w:tc>
          <w:tcPr>
            <w:tcW w:type="dxa" w:w="2494"/>
            <w:shd w:val="clear" w:color="auto" w:fill="c2410c"/>
          </w:tcPr>
          <w:p>
            <w:pPr>
              <w:bidi/>
              <w:spacing w:before="0" w:after="40"/>
              <w:jc w:val="both"/>
            </w:pPr>
            <w:r>
              <w:rPr>
                <w:b/>
                <w:bCs/>
                <w:color w:val="FFFFFF"/>
                <w:rtl/>
              </w:rPr>
              <w:t>גזרה</w:t>
            </w:r>
          </w:p>
        </w:tc>
      </w:tr>
      <w:tr>
        <w:tc>
          <w:tcPr>
            <w:tcW w:type="dxa" w:w="2494"/>
          </w:tcPr>
          <w:p>
            <w:pPr>
              <w:bidi/>
              <w:spacing w:before="0" w:after="40"/>
              <w:jc w:val="both"/>
            </w:pPr>
            <w:r>
              <w:rPr>
                <w:rtl/>
              </w:rPr>
              <w:t>מצלצל</w:t>
            </w:r>
          </w:p>
        </w:tc>
        <w:tc>
          <w:tcPr>
            <w:tcW w:type="dxa" w:w="2494"/>
          </w:tcPr>
          <w:p>
            <w:pPr>
              <w:bidi/>
              <w:spacing w:before="0" w:after="40"/>
              <w:jc w:val="both"/>
            </w:pPr>
            <w:r>
              <w:rPr>
                <w:color w:val="0F7A4F"/>
                <w:rtl/>
              </w:rPr>
              <w:t>צ-ל-צ-ל</w:t>
            </w:r>
          </w:p>
        </w:tc>
        <w:tc>
          <w:tcPr>
            <w:tcW w:type="dxa" w:w="2494"/>
          </w:tcPr>
          <w:p>
            <w:pPr>
              <w:bidi/>
              <w:spacing w:before="0" w:after="40"/>
              <w:jc w:val="both"/>
            </w:pPr>
            <w:r>
              <w:rPr>
                <w:color w:val="0F7A4F"/>
                <w:rtl/>
              </w:rPr>
              <w:t>פיעל</w:t>
            </w:r>
          </w:p>
        </w:tc>
        <w:tc>
          <w:tcPr>
            <w:tcW w:type="dxa" w:w="2494"/>
          </w:tcPr>
          <w:p>
            <w:pPr>
              <w:bidi/>
              <w:spacing w:before="0" w:after="40"/>
              <w:jc w:val="both"/>
            </w:pPr>
            <w:r>
              <w:rPr>
                <w:color w:val="0F7A4F"/>
                <w:rtl/>
              </w:rPr>
              <w:t>מרובעים</w:t>
            </w:r>
          </w:p>
        </w:tc>
      </w:tr>
      <w:tr>
        <w:tc>
          <w:tcPr>
            <w:tcW w:type="dxa" w:w="2494"/>
          </w:tcPr>
          <w:p>
            <w:pPr>
              <w:bidi/>
              <w:spacing w:before="0" w:after="40"/>
              <w:jc w:val="both"/>
            </w:pPr>
            <w:r>
              <w:rPr>
                <w:rtl/>
              </w:rPr>
              <w:t>מפריש</w:t>
            </w:r>
          </w:p>
        </w:tc>
        <w:tc>
          <w:tcPr>
            <w:tcW w:type="dxa" w:w="2494"/>
          </w:tcPr>
          <w:p>
            <w:pPr>
              <w:bidi/>
              <w:spacing w:before="0" w:after="40"/>
              <w:jc w:val="both"/>
            </w:pPr>
            <w:r>
              <w:rPr>
                <w:color w:val="0F7A4F"/>
                <w:rtl/>
              </w:rPr>
              <w:t>פ-ר-ש</w:t>
            </w:r>
          </w:p>
        </w:tc>
        <w:tc>
          <w:tcPr>
            <w:tcW w:type="dxa" w:w="2494"/>
          </w:tcPr>
          <w:p>
            <w:pPr>
              <w:bidi/>
              <w:spacing w:before="0" w:after="40"/>
              <w:jc w:val="both"/>
            </w:pPr>
            <w:r>
              <w:rPr>
                <w:color w:val="0F7A4F"/>
                <w:rtl/>
              </w:rPr>
              <w:t>הפעיל</w:t>
            </w:r>
          </w:p>
        </w:tc>
        <w:tc>
          <w:tcPr>
            <w:tcW w:type="dxa" w:w="2494"/>
          </w:tcPr>
          <w:p>
            <w:pPr>
              <w:bidi/>
              <w:spacing w:before="0" w:after="40"/>
              <w:jc w:val="both"/>
            </w:pPr>
            <w:r>
              <w:rPr>
                <w:color w:val="0F7A4F"/>
                <w:rtl/>
              </w:rPr>
              <w:t>שלמים</w:t>
            </w:r>
          </w:p>
        </w:tc>
      </w:tr>
      <w:tr>
        <w:tc>
          <w:tcPr>
            <w:tcW w:type="dxa" w:w="2494"/>
          </w:tcPr>
          <w:p>
            <w:pPr>
              <w:bidi/>
              <w:spacing w:before="0" w:after="40"/>
              <w:jc w:val="both"/>
            </w:pPr>
            <w:r>
              <w:rPr>
                <w:rtl/>
              </w:rPr>
              <w:t>מוצאים (את עצמם)</w:t>
            </w:r>
          </w:p>
        </w:tc>
        <w:tc>
          <w:tcPr>
            <w:tcW w:type="dxa" w:w="2494"/>
          </w:tcPr>
          <w:p>
            <w:pPr>
              <w:bidi/>
              <w:spacing w:before="0" w:after="40"/>
              <w:jc w:val="both"/>
            </w:pPr>
            <w:r>
              <w:rPr>
                <w:color w:val="0F7A4F"/>
                <w:rtl/>
              </w:rPr>
              <w:t>מ-צ-א</w:t>
            </w:r>
          </w:p>
        </w:tc>
        <w:tc>
          <w:tcPr>
            <w:tcW w:type="dxa" w:w="2494"/>
          </w:tcPr>
          <w:p>
            <w:pPr>
              <w:bidi/>
              <w:spacing w:before="0" w:after="40"/>
              <w:jc w:val="both"/>
            </w:pPr>
            <w:r>
              <w:rPr>
                <w:color w:val="0F7A4F"/>
                <w:rtl/>
              </w:rPr>
              <w:t>פעל (קל)</w:t>
            </w:r>
          </w:p>
        </w:tc>
        <w:tc>
          <w:tcPr>
            <w:tcW w:type="dxa" w:w="2494"/>
          </w:tcPr>
          <w:p>
            <w:pPr>
              <w:bidi/>
              <w:spacing w:before="0" w:after="40"/>
              <w:jc w:val="both"/>
            </w:pPr>
            <w:r>
              <w:rPr>
                <w:color w:val="0F7A4F"/>
                <w:rtl/>
              </w:rPr>
              <w:t>נחי ל"א</w:t>
            </w:r>
          </w:p>
        </w:tc>
      </w:tr>
      <w:tr>
        <w:tc>
          <w:tcPr>
            <w:tcW w:type="dxa" w:w="2494"/>
          </w:tcPr>
          <w:p>
            <w:pPr>
              <w:bidi/>
              <w:spacing w:before="0" w:after="40"/>
              <w:jc w:val="both"/>
            </w:pPr>
            <w:r>
              <w:rPr>
                <w:rtl/>
              </w:rPr>
              <w:t>להתמודד</w:t>
            </w:r>
          </w:p>
        </w:tc>
        <w:tc>
          <w:tcPr>
            <w:tcW w:type="dxa" w:w="2494"/>
          </w:tcPr>
          <w:p>
            <w:pPr>
              <w:bidi/>
              <w:spacing w:before="0" w:after="40"/>
              <w:jc w:val="both"/>
            </w:pPr>
            <w:r>
              <w:rPr>
                <w:color w:val="0F7A4F"/>
                <w:rtl/>
              </w:rPr>
              <w:t>מ-ד-ד</w:t>
            </w:r>
          </w:p>
        </w:tc>
        <w:tc>
          <w:tcPr>
            <w:tcW w:type="dxa" w:w="2494"/>
          </w:tcPr>
          <w:p>
            <w:pPr>
              <w:bidi/>
              <w:spacing w:before="0" w:after="40"/>
              <w:jc w:val="both"/>
            </w:pPr>
            <w:r>
              <w:rPr>
                <w:color w:val="0F7A4F"/>
                <w:rtl/>
              </w:rPr>
              <w:t>התפעל</w:t>
            </w:r>
          </w:p>
        </w:tc>
        <w:tc>
          <w:tcPr>
            <w:tcW w:type="dxa" w:w="2494"/>
          </w:tcPr>
          <w:p>
            <w:pPr>
              <w:bidi/>
              <w:spacing w:before="0" w:after="40"/>
              <w:jc w:val="both"/>
            </w:pPr>
            <w:r>
              <w:rPr>
                <w:color w:val="0F7A4F"/>
                <w:rtl/>
              </w:rPr>
              <w:t>כפולים</w:t>
            </w:r>
          </w:p>
        </w:tc>
      </w:tr>
      <w:tr>
        <w:tc>
          <w:tcPr>
            <w:tcW w:type="dxa" w:w="2494"/>
          </w:tcPr>
          <w:p>
            <w:pPr>
              <w:bidi/>
              <w:spacing w:before="0" w:after="40"/>
              <w:jc w:val="both"/>
            </w:pPr>
            <w:r>
              <w:rPr>
                <w:rtl/>
              </w:rPr>
              <w:t>הוסיפו</w:t>
            </w:r>
          </w:p>
        </w:tc>
        <w:tc>
          <w:tcPr>
            <w:tcW w:type="dxa" w:w="2494"/>
          </w:tcPr>
          <w:p>
            <w:pPr>
              <w:bidi/>
              <w:spacing w:before="0" w:after="40"/>
              <w:jc w:val="both"/>
            </w:pPr>
            <w:r>
              <w:rPr>
                <w:color w:val="0F7A4F"/>
                <w:rtl/>
              </w:rPr>
              <w:t>י-ס-פ</w:t>
            </w:r>
          </w:p>
        </w:tc>
        <w:tc>
          <w:tcPr>
            <w:tcW w:type="dxa" w:w="2494"/>
          </w:tcPr>
          <w:p>
            <w:pPr>
              <w:bidi/>
              <w:spacing w:before="0" w:after="40"/>
              <w:jc w:val="both"/>
            </w:pPr>
            <w:r>
              <w:rPr>
                <w:color w:val="0F7A4F"/>
                <w:rtl/>
              </w:rPr>
              <w:t>הפעיל</w:t>
            </w:r>
          </w:p>
        </w:tc>
        <w:tc>
          <w:tcPr>
            <w:tcW w:type="dxa" w:w="2494"/>
          </w:tcPr>
          <w:p>
            <w:pPr>
              <w:bidi/>
              <w:spacing w:before="0" w:after="40"/>
              <w:jc w:val="both"/>
            </w:pPr>
            <w:r>
              <w:rPr>
                <w:color w:val="0F7A4F"/>
                <w:rtl/>
              </w:rPr>
              <w:t>נחי פ"י</w:t>
            </w:r>
          </w:p>
        </w:tc>
      </w:tr>
    </w:tbl>
    <w:p>
      <w:pPr>
        <w:bidi/>
        <w:spacing w:before="0" w:after="40"/>
        <w:jc w:val="both"/>
      </w:pPr>
    </w:p>
    <w:p>
      <w:pPr>
        <w:bidi/>
        <w:spacing w:before="160" w:after="60"/>
        <w:jc w:val="both"/>
      </w:pPr>
      <w:r>
        <w:rPr>
          <w:b/>
          <w:bCs/>
          <w:sz w:val="26"/>
          <w:szCs w:val="26"/>
          <w:rtl/>
        </w:rPr>
        <w:t>2. מיינו את המילים לפי דרך התצורה שלהן. (5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שורש ומשקל</w:t>
            </w:r>
          </w:p>
        </w:tc>
        <w:tc>
          <w:tcPr>
            <w:tcW w:type="dxa" w:w="2494"/>
            <w:shd w:val="clear" w:color="auto" w:fill="c2410c"/>
          </w:tcPr>
          <w:p>
            <w:pPr>
              <w:bidi/>
              <w:spacing w:before="0" w:after="40"/>
              <w:jc w:val="both"/>
            </w:pPr>
            <w:r>
              <w:rPr>
                <w:b/>
                <w:bCs/>
                <w:color w:val="FFFFFF"/>
                <w:rtl/>
              </w:rPr>
              <w:t>בסיס וצורן סופי</w:t>
            </w:r>
          </w:p>
        </w:tc>
        <w:tc>
          <w:tcPr>
            <w:tcW w:type="dxa" w:w="2494"/>
            <w:shd w:val="clear" w:color="auto" w:fill="c2410c"/>
          </w:tcPr>
          <w:p>
            <w:pPr>
              <w:bidi/>
              <w:spacing w:before="0" w:after="40"/>
              <w:jc w:val="both"/>
            </w:pPr>
            <w:r>
              <w:rPr>
                <w:b/>
                <w:bCs/>
                <w:color w:val="FFFFFF"/>
                <w:rtl/>
              </w:rPr>
              <w:t>הלחם</w:t>
            </w:r>
          </w:p>
        </w:tc>
        <w:tc>
          <w:tcPr>
            <w:tcW w:type="dxa" w:w="2494"/>
            <w:shd w:val="clear" w:color="auto" w:fill="c2410c"/>
          </w:tcPr>
          <w:p>
            <w:pPr>
              <w:bidi/>
              <w:spacing w:before="0" w:after="40"/>
              <w:jc w:val="both"/>
            </w:pPr>
            <w:r>
              <w:rPr>
                <w:b/>
                <w:bCs/>
                <w:color w:val="FFFFFF"/>
                <w:rtl/>
              </w:rPr>
              <w:t>ראשי תיבות</w:t>
            </w:r>
          </w:p>
        </w:tc>
      </w:tr>
      <w:tr>
        <w:tc>
          <w:tcPr>
            <w:tcW w:type="dxa" w:w="2494"/>
          </w:tcPr>
          <w:p>
            <w:pPr>
              <w:bidi/>
              <w:spacing w:before="0" w:after="40"/>
              <w:jc w:val="both"/>
            </w:pPr>
            <w:r>
              <w:rPr>
                <w:rtl/>
              </w:rPr>
              <w:t>מחשב, הסעה</w:t>
            </w:r>
          </w:p>
        </w:tc>
        <w:tc>
          <w:tcPr>
            <w:tcW w:type="dxa" w:w="2494"/>
          </w:tcPr>
          <w:p>
            <w:pPr>
              <w:bidi/>
              <w:spacing w:before="0" w:after="40"/>
              <w:jc w:val="both"/>
            </w:pPr>
            <w:r>
              <w:rPr>
                <w:rtl/>
              </w:rPr>
              <w:t>ספרייה, ילדות</w:t>
            </w:r>
          </w:p>
        </w:tc>
        <w:tc>
          <w:tcPr>
            <w:tcW w:type="dxa" w:w="2494"/>
          </w:tcPr>
          <w:p>
            <w:pPr>
              <w:bidi/>
              <w:spacing w:before="0" w:after="40"/>
              <w:jc w:val="both"/>
            </w:pPr>
            <w:r>
              <w:rPr>
                <w:rtl/>
              </w:rPr>
              <w:t>רמזור, מדרחוב</w:t>
            </w:r>
          </w:p>
        </w:tc>
        <w:tc>
          <w:tcPr>
            <w:tcW w:type="dxa" w:w="2494"/>
          </w:tcPr>
          <w:p>
            <w:pPr>
              <w:bidi/>
              <w:spacing w:before="0" w:after="40"/>
              <w:jc w:val="both"/>
            </w:pPr>
            <w:r>
              <w:rPr>
                <w:rtl/>
              </w:rPr>
              <w:t>מנכ"ל, דו"ח</w:t>
            </w:r>
          </w:p>
        </w:tc>
      </w:tr>
    </w:tbl>
    <w:p>
      <w:pPr>
        <w:bidi/>
        <w:spacing w:before="0" w:after="40"/>
        <w:jc w:val="both"/>
      </w:pPr>
    </w:p>
    <w:p>
      <w:pPr>
        <w:bidi/>
        <w:spacing w:before="160" w:after="60"/>
        <w:jc w:val="both"/>
      </w:pPr>
      <w:r>
        <w:rPr>
          <w:b/>
          <w:bCs/>
          <w:sz w:val="26"/>
          <w:szCs w:val="26"/>
          <w:rtl/>
        </w:rPr>
        <w:t>3. כתבו את שם הפעולה של כל פועל. (5 נק')</w:t>
      </w:r>
    </w:p>
    <w:p>
      <w:pPr>
        <w:bidi/>
        <w:spacing w:before="0" w:after="40"/>
        <w:jc w:val="both"/>
      </w:pPr>
      <w:r>
        <w:rPr>
          <w:rtl/>
        </w:rPr>
        <w:t>א. הִשְׁכִּים ← הַשְׁכָּמָה</w:t>
      </w:r>
    </w:p>
    <w:p>
      <w:pPr>
        <w:bidi/>
        <w:spacing w:before="0" w:after="40"/>
        <w:jc w:val="both"/>
      </w:pPr>
      <w:r>
        <w:rPr>
          <w:rtl/>
        </w:rPr>
        <w:t>ב. הִפְרִישׁ ← הַפְרָשָׁה</w:t>
      </w:r>
    </w:p>
    <w:p>
      <w:pPr>
        <w:bidi/>
        <w:spacing w:before="0" w:after="40"/>
        <w:jc w:val="both"/>
      </w:pPr>
      <w:r>
        <w:rPr>
          <w:rtl/>
        </w:rPr>
        <w:t>ג. הִתְרַכֵּז ← הִתְרַכְּזוּת</w:t>
      </w:r>
    </w:p>
    <w:p>
      <w:pPr>
        <w:bidi/>
        <w:spacing w:before="0" w:after="40"/>
        <w:jc w:val="both"/>
      </w:pPr>
      <w:r>
        <w:rPr>
          <w:rtl/>
        </w:rPr>
        <w:t>ד. שִׁפֵּר ← שִׁפּוּר</w:t>
      </w:r>
    </w:p>
    <w:p>
      <w:pPr>
        <w:bidi/>
        <w:spacing w:before="0" w:after="40"/>
        <w:jc w:val="both"/>
      </w:pPr>
      <w:r>
        <w:rPr>
          <w:rtl/>
        </w:rPr>
        <w:t>ה. נִרְדַּם ← הֵרָדְמוּת</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