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2A1F28"/>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משנה · חמ"ד</w:t>
      </w:r>
    </w:p>
    <w:p>
      <w:pPr>
        <w:keepNext w:val="false"/>
        <w:keepLines/>
        <w:bidi/>
        <w:spacing w:after="40" w:before="0" w:line="240" w:lineRule="auto"/>
        <w:jc w:val="center"/>
      </w:pPr>
      <w:r>
        <w:rPr>
          <w:rFonts w:ascii="Suez One" w:cs="Suez One" w:eastAsia="Suez One" w:hAnsi="Suez One"/>
          <w:b w:val="false"/>
          <w:color w:val="FFFFFF"/>
          <w:sz w:val="128"/>
          <w:szCs w:val="128"/>
          <w:rtl/>
        </w:rPr>
        <w:t xml:space="preserve">מסכת מגילה</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ז' · מבחנים</w:t>
      </w:r>
    </w:p>
    <w:p>
      <w:pPr>
        <w:spacing w:after="0" w:before="0" w:line="730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FFFFF" w:color="auto" w:val="clear"/>
            <w:tcMar>
              <w:top w:type="dxa" w:w="120"/>
              <w:left w:type="dxa" w:w="300"/>
              <w:bottom w:type="dxa" w:w="120"/>
              <w:right w:type="dxa" w:w="300"/>
            </w:tcMar>
          </w:tcPr>
          <w:p>
            <w:pPr>
              <w:keepNext w:val="false"/>
              <w:keepLines/>
              <w:bidi/>
              <w:spacing w:after="0" w:before="0" w:line="300" w:lineRule="auto"/>
              <w:jc w:val="center"/>
            </w:pPr>
            <w:r>
              <w:rPr>
                <w:rFonts w:ascii="Rubik Medium MG" w:cs="Rubik Medium MG" w:eastAsia="Rubik Medium MG" w:hAnsi="Rubik Medium MG"/>
                <w:b w:val="false"/>
                <w:color w:val="5B2245"/>
                <w:sz w:val="26"/>
                <w:szCs w:val="26"/>
                <w:rtl/>
              </w:rPr>
              <w:t xml:space="preserve">שם התלמיד: </w:t>
            </w:r>
            <w:r>
              <w:rPr>
                <w:rFonts w:ascii="Rubik Medium MG" w:cs="Rubik Medium MG" w:eastAsia="Rubik Medium MG" w:hAnsi="Rubik Medium MG"/>
                <w:b w:val="false"/>
                <w:color w:val="A69AA2"/>
                <w:sz w:val="26"/>
                <w:szCs w:val="26"/>
                <w:rtl/>
              </w:rPr>
              <w:t xml:space="preserve">________________</w:t>
            </w:r>
            <w:r>
              <w:rPr>
                <w:rFonts w:ascii="Rubik Medium MG" w:cs="Rubik Medium MG" w:eastAsia="Rubik Medium MG" w:hAnsi="Rubik Medium MG"/>
                <w:b w:val="false"/>
                <w:color w:val="5B2245"/>
                <w:sz w:val="26"/>
                <w:szCs w:val="26"/>
                <w:rtl/>
              </w:rPr>
              <w:t xml:space="preserve">     כיתה: </w:t>
            </w:r>
            <w:r>
              <w:rPr>
                <w:rFonts w:ascii="Rubik Medium MG" w:cs="Rubik Medium MG" w:eastAsia="Rubik Medium MG" w:hAnsi="Rubik Medium MG"/>
                <w:b w:val="false"/>
                <w:color w:val="A69AA2"/>
                <w:sz w:val="26"/>
                <w:szCs w:val="26"/>
                <w:rtl/>
              </w:rPr>
              <w:t xml:space="preserve">______</w:t>
            </w:r>
          </w:p>
        </w:tc>
      </w:tr>
    </w:tbl>
    <w:p>
      <w:pPr>
        <w:spacing w:after="0" w:before="0" w:line="30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Frank Ruhl TB Bold" w:cs="Frank Ruhl TB Bold" w:eastAsia="Frank Ruhl TB Bold" w:hAnsi="Frank Ruhl TB Bold"/>
                <w:b w:val="false"/>
                <w:color w:val="5B2245"/>
                <w:sz w:val="34"/>
                <w:szCs w:val="34"/>
                <w:rtl/>
              </w:rPr>
              <w:t xml:space="preserve">לַיְּהוּדִים הָיְתָה אוֹרָה וְשִׂמְחָה וְשָׂשֹׂן וִיקָר</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(אסתר ח, טז)</w:t>
            </w:r>
          </w:p>
        </w:tc>
      </w:tr>
    </w:tbl>
    <w:p>
      <w:pPr>
        <w:sectPr>
          <w:headerReference w:type="default" r:id="rId7"/>
          <w:pgSz w:w="11906" w:h="16838" w:orient="portrait"/>
          <w:pgMar w:top="700" w:right="1000" w:bottom="600" w:left="1000" w:header="300" w:footer="300" w:gutter="0"/>
          <w:pgNumType/>
          <w:docGrid w:linePitch="360"/>
        </w:sectPr>
      </w:pPr>
    </w:p>
    <w:p>
      <w:pPr>
        <w:spacing w:after="0" w:before="0" w:line="240"/>
      </w:pPr>
      <w:r>
        <w:rPr>
          <w:rFonts w:ascii="Arial" w:cs="Arial" w:eastAsia="Arial" w:hAnsi="Arial"/>
          <w:color w:val="FDF8F2"/>
          <w:sz w:val="2"/>
          <w:szCs w:val="2"/>
        </w:rPr>
        <w:t xml:space="preserve">QQS0QQ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24"/>
                <w:szCs w:val="24"/>
                <w:rtl/>
              </w:rPr>
              <w:t xml:space="preserve">מבחנים · מבחן פרק א</w:t>
            </w:r>
          </w:p>
          <w:p>
            <w:pPr>
              <w:keepNext/>
              <w:keepLines/>
              <w:bidi/>
              <w:spacing w:after="60" w:before="0" w:line="240" w:lineRule="auto"/>
              <w:jc w:val="both"/>
            </w:pPr>
            <w:r>
              <w:rPr>
                <w:rFonts w:ascii="Suez One" w:cs="Suez One" w:eastAsia="Suez One" w:hAnsi="Suez One"/>
                <w:b w:val="false"/>
                <w:color w:val="5B2245"/>
                <w:sz w:val="51"/>
                <w:szCs w:val="51"/>
                <w:rtl/>
              </w:rPr>
              <w:t xml:space="preserve">מבחן – פרק ראשון: מגילה נקראת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קראו את דברי המשנה (פרק א משנה א) וענו:</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«כְּרַכִּין הַמֻקָּפִין חוֹמָה מִימוֹת יְהוֹשֻׁעַ בִּן נוּן, קוֹרִין בַּחֲמִשָּׁה עָשָׂר. כְּפָרִים וַעֲיָרוֹת גְּדוֹלוֹת, קוֹרִין בְּאַרְבָּעָה עָשָׂר; אֶלָּא שֶׁהַכְּפָרִים מַקְדִּימִין לְיוֹם הַכְּנִיסָה»</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באילו ימים בחודש אדר אפשר לקרוא את המגילה לפי המשנה? </w:t>
      </w:r>
      <w:r>
        <w:rPr>
          <w:rFonts w:ascii="Rubik MG" w:cs="Rubik MG" w:eastAsia="Rubik MG" w:hAnsi="Rubik MG"/>
          <w:b w:val="false"/>
          <w:color w:val="A69AA2"/>
          <w:sz w:val="24"/>
          <w:szCs w:val="24"/>
          <w:rtl/>
        </w:rPr>
        <w:t xml:space="preserve">‏________ ________ ________ ________‏</w:t>
      </w:r>
      <w:r>
        <w:rPr>
          <w:rFonts w:ascii="Rubik MG" w:cs="Rubik MG" w:eastAsia="Rubik MG" w:hAnsi="Rubik MG"/>
          <w:b w:val="false"/>
          <w:color w:val="2A1F28"/>
          <w:sz w:val="24"/>
          <w:szCs w:val="24"/>
          <w:rtl/>
        </w:rPr>
        <w:t xml:space="preserve"> – «לֹא פָּחוֹת וְלֹא יוֹתֵר».</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מי קורא בט"ו באדר? </w:t>
      </w:r>
      <w:r>
        <w:rPr>
          <w:rFonts w:ascii="Rubik MG" w:cs="Rubik MG" w:eastAsia="Rubik MG" w:hAnsi="Rubik MG"/>
          <w:b w:val="false"/>
          <w:color w:val="A69AA2"/>
          <w:sz w:val="24"/>
          <w:szCs w:val="24"/>
          <w:rtl/>
        </w:rPr>
        <w:t xml:space="preserve">‏________ ________ ________ ________ ________ ________‏</w:t>
      </w:r>
      <w:r>
        <w:rPr>
          <w:rFonts w:ascii="Rubik MG" w:cs="Rubik MG" w:eastAsia="Rubik MG" w:hAnsi="Rubik MG"/>
          <w:b w:val="false"/>
          <w:color w:val="2A1F28"/>
          <w:sz w:val="24"/>
          <w:szCs w:val="24"/>
          <w:rtl/>
        </w:rPr>
        <w:t xml:space="preserve">. מי קורא בי"ד?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למה יש מקומות שקוראים לפני י"ד? הסבירו את המושג «יום הכניסה».</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תרשים כאמד"ט: השלימו את התרשים לפי משנה א. בכל שורה – מקום אחר.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991"/>
              <w:gridCol w:w="1981"/>
              <w:gridCol w:w="1981"/>
              <w:gridCol w:w="2972"/>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כרכים המוקפים חומה מימות יהושע</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קורין בי"ד</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כפרים</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«כֵּיצַד?» – משנה ב מלמדת מה עושים כשיום י"ד חל בימים שונים בשבוע. השלימו את הטבלה: באיזה יום בשבוע וּבְאיזה תאריך קורא כל מקום?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2477"/>
              <w:gridCol w:w="2477"/>
              <w:gridCol w:w="2475"/>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י"ד חל ביום...</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כפרים</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עיירות גדולות</w:t>
                  </w:r>
                </w:p>
              </w:tc>
              <w:tc>
                <w:tcPr>
                  <w:tcW w:type="dxa" w:w="247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מוקפות חומה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ערב שבת (שישי)</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ד) </w:t>
      </w:r>
      <w:r>
        <w:rPr>
          <w:rFonts w:ascii="Rubik MG" w:cs="Rubik MG" w:eastAsia="Rubik MG" w:hAnsi="Rubik MG"/>
          <w:b w:val="false"/>
          <w:color w:val="2A1F28"/>
          <w:sz w:val="24"/>
          <w:szCs w:val="24"/>
          <w:rtl/>
        </w:rPr>
        <w:t xml:space="preserve">כשי"ד חל בערב שבת, המוקפים חומה אינם קוראים בט"ו. מדוע, לדעתכם?</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עיינו בדברי הברטנורא על משנה ג:</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ולא מקדימין – </w:t>
                  </w:r>
                  <w:r>
                    <w:rPr>
                      <w:rFonts w:ascii="Frank Ruhl TB" w:cs="Frank Ruhl TB" w:eastAsia="Frank Ruhl TB" w:hAnsi="Frank Ruhl TB"/>
                      <w:b w:val="false"/>
                      <w:color w:val="2A1F28"/>
                      <w:sz w:val="25"/>
                      <w:szCs w:val="25"/>
                      <w:rtl/>
                    </w:rPr>
                    <w:t xml:space="preserve">דאכתי לא מטי זמן חיובייהו. ותשעה באב, דאקדומי פורענותא לא מקדמינן: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אילו ארבעה דברים «מְאַחֲרִין וְלֹא מַקְדִּימִין» לפי המשנה?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הסבירו במילים שלכם את שני הטעמים שהברטנורא נותן. איזה טעם שייך לתשעה באב?</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ומה ההפך – מה «מַקְדִּימִין וְלֹא מְאַחֲרִין»? </w:t>
      </w:r>
      <w:r>
        <w:rPr>
          <w:rFonts w:ascii="Rubik MG" w:cs="Rubik MG" w:eastAsia="Rubik MG" w:hAnsi="Rubik MG"/>
          <w:b w:val="false"/>
          <w:color w:val="A69AA2"/>
          <w:sz w:val="24"/>
          <w:szCs w:val="24"/>
          <w:rtl/>
        </w:rPr>
        <w:t xml:space="preserve">‏________ ________‏</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(15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ההבדל?» – המשניות ד–יא בנויות במבנה «אֵין בֵּין... אֶלָּא...». השלימו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72"/>
              <w:gridCol w:w="2972"/>
              <w:gridCol w:w="3962"/>
            </w:tblGrid>
            <w:tr>
              <w:trPr>
                <w:cantSplit/>
                <w:tblHeader/>
              </w:trPr>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אין בין...</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אֶלָּא (ההבדל היחיד)</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אדר ראשון</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אדר שני</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תפילין ומזוזות</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נדרים</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שילה</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ירושלים</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«עיר גדולה» היא עיר שיש בה עשרה בטלנים.</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שהודר הנאה מחברו מותר לעבור בשטח של חברו.</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קראו את המגילה באדר ראשון ונתעברה השנה – אין צריך לקרוא שוב.</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לפי רבן שמעון בן גמליאל, ספרים מותר לכתוב, מלבד אשורית, רק ביוונית.</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זוגות מתאימים: מתחו קו בין המושג לבין ההסבר שלו.</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בַּטְלָנִים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כל מקום שאפשר לראות ממנו את שילה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יוֹם הַכְּנִיסָה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נדר שאסור לו ליהנות מחברו בשום דבר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מוּדָּר הֲנָאָה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אנשים שפנויים ממלאכתם ומצויים תמיד בבית הכנסת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נְדָבָה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יום שני או חמישי שבו אנשי הכפרים באים לעיר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בְּכָל הָרוֹאֶה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«הרי זו עולה» – אם אבדה, אינו חייב באחריותה</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(7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מה ההבדל בין כהן משוח בשמן המשחה לבין כהן מרובה בגדים?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המשוח מביא פר על כל המצוות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מרובה הבגדים עובד ביום הכיפורים</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המשוח לובש שמונה בגדים</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אין ביניהם שום הבדל</w:t>
      </w:r>
    </w:p>
    <w:p>
      <w:pPr>
        <w:keepLines/>
        <w:bidi/>
        <w:spacing w:after="90" w:before="40" w:line="300"/>
        <w:ind w:start="420"/>
        <w:jc w:val="both"/>
      </w:pPr>
      <w:r>
        <w:rPr>
          <w:rFonts w:ascii="Rubik MG" w:cs="Rubik MG" w:eastAsia="Rubik MG" w:hAnsi="Rubik MG"/>
          <w:b w:val="false"/>
          <w:color w:val="2A1F28"/>
          <w:sz w:val="24"/>
          <w:szCs w:val="24"/>
          <w:rtl/>
        </w:rPr>
        <w:t xml:space="preserve">איזה קרבן אינו קרב בבמה קטנה?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עולת נדבה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פסחים</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שלמי נדר</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עולת נדר</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(8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חושבים לעומק: הברטנורא כותב שתיקנו לקרוא בט"ו בערים המוקפות חומה מימות יהושע (ולא מימות אחשוורוש)</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מימות יהושע בן נון קורין בט"ו – </w:t>
                  </w:r>
                  <w:r>
                    <w:rPr>
                      <w:rFonts w:ascii="Frank Ruhl TB" w:cs="Frank Ruhl TB" w:eastAsia="Frank Ruhl TB" w:hAnsi="Frank Ruhl TB"/>
                      <w:b w:val="false"/>
                      <w:color w:val="2A1F28"/>
                      <w:sz w:val="25"/>
                      <w:szCs w:val="25"/>
                      <w:rtl/>
                    </w:rPr>
                    <w:t xml:space="preserve">כדי לחלוק כבוד לא"י שהיתה חרבה בימי מרדכי ואסתר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למדו חכמים מכך שבחרו דווקא בימות יהושע? מה זה מלמד אותנו על הקשר בין ארץ ישראל לבין חג הפורים, שקרה בשושן?</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430"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טיוטה</w:t>
            </w:r>
          </w:p>
        </w:tc>
      </w:tr>
      <w:tr>
        <w:trPr>
          <w:cantSplit/>
          <w:trHeight w:val="3003"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מבחנים · מבחן פרק ב</w:t>
            </w:r>
          </w:p>
          <w:p>
            <w:pPr>
              <w:keepNext/>
              <w:keepLines/>
              <w:bidi/>
              <w:spacing w:after="48" w:before="0" w:line="223" w:lineRule="auto"/>
              <w:jc w:val="both"/>
            </w:pPr>
            <w:r>
              <w:rPr>
                <w:rFonts w:ascii="Suez One" w:cs="Suez One" w:eastAsia="Suez One" w:hAnsi="Suez One"/>
                <w:b w:val="false"/>
                <w:color w:val="5B2245"/>
                <w:sz w:val="44"/>
                <w:szCs w:val="44"/>
                <w:rtl/>
              </w:rPr>
              <w:t xml:space="preserve">מבחן – פרק שני: הקורא למפרע</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קראו את דברי המשנה (פרק ב משנה א) וענו:</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«הַקּוֹרֵא אֶת הַמְּגִלָּה לְמַפְרֵעַ, לֹא יָצָא. קְרָאָהּ עַל פֶּה, קְרָאָהּ תַּרְגּוּם, בְּכָל לָשׁוֹן, לֹא יָצָא»</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פירוש המילה «לְמַפְרֵעַ»? </w:t>
      </w:r>
      <w:r>
        <w:rPr>
          <w:rFonts w:ascii="Rubik MG" w:cs="Rubik MG" w:eastAsia="Rubik MG" w:hAnsi="Rubik MG"/>
          <w:b w:val="false"/>
          <w:color w:val="A69AA2"/>
          <w:sz w:val="24"/>
          <w:szCs w:val="24"/>
          <w:rtl/>
        </w:rPr>
        <w:t xml:space="preserve">‏________ ________ ________ ________ ________‏</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שמעון קרא את המגילה בעל פה מצוין, בלי אף טעות. האם יצא ידי חובה?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כי </w:t>
      </w:r>
      <w:r>
        <w:rPr>
          <w:rFonts w:ascii="Rubik MG" w:cs="Rubik MG" w:eastAsia="Rubik MG" w:hAnsi="Rubik MG"/>
          <w:b w:val="false"/>
          <w:color w:val="A69AA2"/>
          <w:sz w:val="24"/>
          <w:szCs w:val="24"/>
          <w:rtl/>
        </w:rPr>
        <w:t xml:space="preserve">‏________ ________ ________ ________‏</w:t>
      </w:r>
      <w:r>
        <w:rPr>
          <w:rFonts w:ascii="Rubik MG" w:cs="Rubik MG" w:eastAsia="Rubik MG" w:hAnsi="Rubik MG"/>
          <w:b w:val="false"/>
          <w:color w:val="2A1F28"/>
          <w:sz w:val="24"/>
          <w:szCs w:val="24"/>
          <w:rtl/>
        </w:rPr>
        <w:t xml:space="preserve">.</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כתבו שלושה אופנים שבהם לפי המשנה «לֹא יָצָא»: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תרשים כאמד"ט: השלימו את התרשים לפי משנה 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1"/>
              <w:gridCol w:w="901"/>
              <w:gridCol w:w="2702"/>
              <w:gridCol w:w="1801"/>
              <w:gridCol w:w="2701"/>
            </w:tblGrid>
            <w:tr>
              <w:trPr>
                <w:cantSplit/>
                <w:tblHeader/>
              </w:trPr>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9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27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w:t>
                  </w:r>
                </w:p>
              </w:tc>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w:t>
                  </w:r>
                </w:p>
              </w:tc>
              <w:tc>
                <w:tcPr>
                  <w:tcW w:type="dxa" w:w="27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 / הסבר</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7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קראה סירוגין (בהפסקות)</w:t>
                  </w:r>
                </w:p>
              </w:tc>
              <w:tc>
                <w:tcPr>
                  <w:tcW w:type="dxa" w:w="18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7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7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8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7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7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כתובה בסם או בסיקרא, על הנייר או על הדפתרא</w:t>
                  </w:r>
                </w:p>
              </w:tc>
              <w:tc>
                <w:tcPr>
                  <w:tcW w:type="dxa" w:w="18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7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מחלוקת במשנה: «וּמֵהֵיכָן קוֹרֵא אָדָם אֶת הַמְּגִלָּה וְיוֹצֵא בָהּ יְדֵי חוֹבָתוֹ?» (פרק ב משנה ג). השלימו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אומר?</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מה דעתו? (מאיפה קוראים)</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במה זה מתחיל במגילה? (במילים שלכם)</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מהו נושא המחלוקת? </w:t>
      </w:r>
      <w:r>
        <w:rPr>
          <w:rFonts w:ascii="Rubik MG" w:cs="Rubik MG" w:eastAsia="Rubik MG" w:hAnsi="Rubik MG"/>
          <w:b w:val="false"/>
          <w:color w:val="A69AA2"/>
          <w:sz w:val="24"/>
          <w:szCs w:val="24"/>
          <w:rtl/>
        </w:rPr>
        <w:t xml:space="preserve">‏________ ________ ________ ________ ________ ________‏</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כמי ההלכה, לפי הברטנורא? </w:t>
      </w:r>
      <w:r>
        <w:rPr>
          <w:rFonts w:ascii="Rubik MG" w:cs="Rubik MG" w:eastAsia="Rubik MG" w:hAnsi="Rubik MG"/>
          <w:b w:val="false"/>
          <w:color w:val="A69AA2"/>
          <w:sz w:val="24"/>
          <w:szCs w:val="24"/>
          <w:rtl/>
        </w:rPr>
        <w:t xml:space="preserve">‏________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עיון בברטנורא: לכאורה יש סתירה במשנה א: «בְּכָל לָשׁוֹן, לֹא יָצָא», ומיד אחר כך: «אֲבָל קוֹרִין אוֹתָהּ לַלּוֹעֲזוֹת בְּלַעַז». קראו מה מבאר הברטנורא:</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קראה תרגום בכל לשון לא יצא – </w:t>
                  </w:r>
                  <w:r>
                    <w:rPr>
                      <w:rFonts w:ascii="Frank Ruhl TB" w:cs="Frank Ruhl TB" w:eastAsia="Frank Ruhl TB" w:hAnsi="Frank Ruhl TB"/>
                      <w:b w:val="false"/>
                      <w:color w:val="2A1F28"/>
                      <w:sz w:val="25"/>
                      <w:szCs w:val="25"/>
                      <w:rtl/>
                    </w:rPr>
                    <w:t xml:space="preserve">הכי קאמר, עברי שקראה תרגום ואינו מבין בל' תרגום, או בכל שאר לשון שאינו מבין, לא יצא: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קורין אותה ללועזות בלעז – </w:t>
                  </w:r>
                  <w:r>
                    <w:rPr>
                      <w:rFonts w:ascii="Frank Ruhl TB" w:cs="Frank Ruhl TB" w:eastAsia="Frank Ruhl TB" w:hAnsi="Frank Ruhl TB"/>
                      <w:b w:val="false"/>
                      <w:color w:val="2A1F28"/>
                      <w:sz w:val="25"/>
                      <w:szCs w:val="25"/>
                      <w:rtl/>
                    </w:rPr>
                    <w:t xml:space="preserve">באותו לשון שהם מבינים. ובלבד שתהא כתובה באותו לשון, שלא יהא קורא על פה: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איזה קושי פותר הברטנורא? הסבירו איך הוא מיישב את הסתירה.</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איזה תנאי נוסף מוסיף הברטנורא לקריאה ללועזות? </w:t>
      </w:r>
      <w:r>
        <w:rPr>
          <w:rFonts w:ascii="Rubik MG" w:cs="Rubik MG" w:eastAsia="Rubik MG" w:hAnsi="Rubik MG"/>
          <w:b w:val="false"/>
          <w:color w:val="A69AA2"/>
          <w:sz w:val="24"/>
          <w:szCs w:val="24"/>
          <w:rtl/>
        </w:rPr>
        <w:t xml:space="preserve">‏________ ________ 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הדין?» – לפי משנה ג: «בֶּן עִיר שֶׁהָלַךְ לִכְרַךְ וּבֶן כְּרַךְ שֶׁהָלַךְ לְעִיר, אִם עָתִיד לַחֲזוֹר לִמְקוֹמוֹ, קוֹרֵא כִּמְקוֹמוֹ». השלימו: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91"/>
              <w:gridCol w:w="3715"/>
            </w:tblGrid>
            <w:tr>
              <w:trPr>
                <w:cantSplit/>
                <w:tblHeader/>
              </w:trPr>
              <w:tc>
                <w:tcPr>
                  <w:tcW w:type="dxa" w:w="61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המקרה</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מה הדין? באיזה יום יקרא?</w:t>
                  </w:r>
                </w:p>
              </w:tc>
            </w:tr>
            <w:tr>
              <w:trPr>
                <w:cantSplit/>
                <w:tblHeader w:val="false"/>
                <w:trHeight w:val="500" w:hRule="atLeast"/>
              </w:trPr>
              <w:tc>
                <w:tcPr>
                  <w:tcW w:type="dxa" w:w="619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דוד גר בעיר (קוראים בי"ד). בפורים נסע לכרך מוקף חומה, ובדעתו לחזור הביתה.</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19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יוסף גר בכרך מוקף חומה. הוא עבר לגור בעיר, ואינו עתיד לחזור.</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619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משה גר בכרך מוקף חומה. בפורים ביקר בעיר, ובדעתו לחזור לכרך.</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ד) </w:t>
      </w:r>
      <w:r>
        <w:rPr>
          <w:rFonts w:ascii="Rubik MG" w:cs="Rubik MG" w:eastAsia="Rubik MG" w:hAnsi="Rubik MG"/>
          <w:b w:val="false"/>
          <w:color w:val="2A1F28"/>
          <w:sz w:val="24"/>
          <w:szCs w:val="24"/>
          <w:rtl/>
        </w:rPr>
        <w:t xml:space="preserve">מהי המילה החשובה במשנה שקובעת את הדין? </w:t>
      </w:r>
      <w:r>
        <w:rPr>
          <w:rFonts w:ascii="Rubik MG" w:cs="Rubik MG" w:eastAsia="Rubik MG" w:hAnsi="Rubik MG"/>
          <w:b w:val="false"/>
          <w:color w:val="A69AA2"/>
          <w:sz w:val="24"/>
          <w:szCs w:val="24"/>
          <w:rtl/>
        </w:rPr>
        <w:t xml:space="preserve">‏________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לפי חכמים (סתם משנה), קטן כשר לקרוא את המגילה לרבים.</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קוראים את המגילה ביום עד שתנץ החמה, ומי שקרא משעלה עמוד השחר – כשר.</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מילה, טבילה והזאה מותר לעשות גם בלילה.</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חרש ושוטה אינם כשרים לקרוא את המגילה.</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«כל היום כשר, כל הלילה כשר» (משניות ה–ו): מיינו את המצוות שבמחסן המילים לשתי העמודות.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24"/>
                      <w:szCs w:val="24"/>
                      <w:rtl/>
                    </w:rPr>
                    <w:t xml:space="preserve">קריאת המגילה   ·   קצירת העומר   ·   תקיעת שופר   ·   הקטר חלבים ואברים   ·   נטילת לולב   ·   קריאת ההלל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כשר כל היום</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כשר כל הלילה</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השלימו את הכלל שבסוף משנה ו: «דָּבָר שֶׁמִּצְוָתוֹ בַיּוֹם,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דָּבָר שֶׁמִּצְוָתוֹ בַּלַּיְלָה, </w:t>
      </w:r>
      <w:r>
        <w:rPr>
          <w:rFonts w:ascii="Rubik MG" w:cs="Rubik MG" w:eastAsia="Rubik MG" w:hAnsi="Rubik MG"/>
          <w:b w:val="false"/>
          <w:color w:val="A69AA2"/>
          <w:sz w:val="24"/>
          <w:szCs w:val="24"/>
          <w:rtl/>
        </w:rPr>
        <w:t xml:space="preserve">‏________ ________ ________ ________‏</w:t>
      </w:r>
      <w:r>
        <w:rPr>
          <w:rFonts w:ascii="Rubik MG" w:cs="Rubik MG" w:eastAsia="Rubik MG" w:hAnsi="Rubik MG"/>
          <w:b w:val="false"/>
          <w:color w:val="2A1F28"/>
          <w:sz w:val="24"/>
          <w:szCs w:val="24"/>
          <w:rtl/>
        </w:rPr>
        <w:t xml:space="preserve">».</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(8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מגילה שנכתבה על נייר – מה דינה?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כשרה, אם הכתב אשורית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לא יצא – צריך לכתוב על הספר (קלף)</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כשרה רק ללועזות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כשרה בשעת הדחק</w:t>
      </w:r>
    </w:p>
    <w:p>
      <w:pPr>
        <w:keepLines/>
        <w:bidi/>
        <w:spacing w:after="90" w:before="40" w:line="300"/>
        <w:ind w:start="420"/>
        <w:jc w:val="both"/>
      </w:pPr>
      <w:r>
        <w:rPr>
          <w:rFonts w:ascii="Rubik MG" w:cs="Rubik MG" w:eastAsia="Rubik MG" w:hAnsi="Rubik MG"/>
          <w:b w:val="false"/>
          <w:color w:val="2A1F28"/>
          <w:sz w:val="24"/>
          <w:szCs w:val="24"/>
          <w:rtl/>
        </w:rPr>
        <w:t xml:space="preserve">ראובן נרדם קצת («מתנמנם») בזמן שקרא את המגילה. מה הדין לפי המשנה?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לא יצא</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יצא</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יחזור לתחילת המגילה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יצא רק אם קרא ביום</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המשנה בחיינו: המשנה אומרת על מי שהיה כותב או מגיה את המגילה בזמן הקריאה: «אִם כִּוֵּן לִבּוֹ, יָצָא. וְאִם לָאו, לֹא יָצָא». מה המשנה מלמדת אותנו על החשיבות של כוונה במצוות? תנו דוגמה ממצווה שאתם עושים (תפילה, ברכה, קריאת שמע ועוד).</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QQS2QQ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מבחנים · מבחן פרק ג</w:t>
            </w:r>
          </w:p>
          <w:p>
            <w:pPr>
              <w:keepNext/>
              <w:keepLines/>
              <w:bidi/>
              <w:spacing w:after="48" w:before="0" w:line="223" w:lineRule="auto"/>
              <w:jc w:val="both"/>
            </w:pPr>
            <w:r>
              <w:rPr>
                <w:rFonts w:ascii="Suez One" w:cs="Suez One" w:eastAsia="Suez One" w:hAnsi="Suez One"/>
                <w:b w:val="false"/>
                <w:color w:val="5B2245"/>
                <w:sz w:val="44"/>
                <w:szCs w:val="44"/>
                <w:rtl/>
              </w:rPr>
              <w:t xml:space="preserve">מבחן – פרק שלישי: בני העיר</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קראו את תחילת פרק ג משנה א וענו:</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«בְּנֵי הָעִיר שֶׁמָכְרוּ רְחוֹבָה שֶׁל עִיר, לוֹקְחִין בְּדָמָיו בֵּית הַכְּנֶסֶת. בֵּית הַכְּנֶסֶת, לוֹקְחִין תֵּבָה. תֵּבָה, לוֹקְחִין מִטְפָּחוֹת...»</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«סולם הקדושה»: סדרו את הדברים מהקדושה הפחותה (1) עד הקדושה הגדולה ביותר (6).</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1651"/>
              <w:gridCol w:w="1651"/>
              <w:gridCol w:w="1651"/>
              <w:gridCol w:w="1651"/>
              <w:gridCol w:w="1651"/>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1</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2</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3</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4</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5</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6</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בני העיר מכרו את התבה. מה מותר להם לקנות בכסף? </w:t>
      </w:r>
      <w:r>
        <w:rPr>
          <w:rFonts w:ascii="Rubik MG" w:cs="Rubik MG" w:eastAsia="Rubik MG" w:hAnsi="Rubik MG"/>
          <w:b w:val="false"/>
          <w:color w:val="A69AA2"/>
          <w:sz w:val="24"/>
          <w:szCs w:val="24"/>
          <w:rtl/>
        </w:rPr>
        <w:t xml:space="preserve">‏________ ________ 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עיון בברטנורא:</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אם מכרו תורה לא יקחו ספרים – </w:t>
                  </w:r>
                  <w:r>
                    <w:rPr>
                      <w:rFonts w:ascii="Frank Ruhl TB" w:cs="Frank Ruhl TB" w:eastAsia="Frank Ruhl TB" w:hAnsi="Frank Ruhl TB"/>
                      <w:b w:val="false"/>
                      <w:color w:val="2A1F28"/>
                      <w:sz w:val="25"/>
                      <w:szCs w:val="25"/>
                      <w:rtl/>
                    </w:rPr>
                    <w:t xml:space="preserve">דמעלין בקודש ואין מורידין:</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ספרים – </w:t>
                  </w:r>
                  <w:r>
                    <w:rPr>
                      <w:rFonts w:ascii="Frank Ruhl TB" w:cs="Frank Ruhl TB" w:eastAsia="Frank Ruhl TB" w:hAnsi="Frank Ruhl TB"/>
                      <w:b w:val="false"/>
                      <w:color w:val="2A1F28"/>
                      <w:sz w:val="25"/>
                      <w:szCs w:val="25"/>
                      <w:rtl/>
                    </w:rPr>
                    <w:t xml:space="preserve">נביאים וכתובים: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מבאר הברטנורא במילה «סְפָרִים»? </w:t>
      </w:r>
      <w:r>
        <w:rPr>
          <w:rFonts w:ascii="Rubik MG" w:cs="Rubik MG" w:eastAsia="Rubik MG" w:hAnsi="Rubik MG"/>
          <w:b w:val="false"/>
          <w:color w:val="A69AA2"/>
          <w:sz w:val="24"/>
          <w:szCs w:val="24"/>
          <w:rtl/>
        </w:rPr>
        <w:t xml:space="preserve">‏________ ________ ________‏</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הסבירו במילים שלכם את הכלל «מעלין בקודש ואין מורידין», והראו איך הוא מסביר את הסיפא של המשנה («אֲבָל אִם מָכְרוּ תּוֹרָה, לֹא יִקְחוּ סְפָרִים»).</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«וְכֵן בְּמוֹתְרֵיהֶן» – מכרו ספרים וקנו תורה, ונשאר כסף. מה מותר לקנות בכסף שנשאר? </w:t>
      </w:r>
      <w:r>
        <w:rPr>
          <w:rFonts w:ascii="Rubik MG" w:cs="Rubik MG" w:eastAsia="Rubik MG" w:hAnsi="Rubik MG"/>
          <w:b w:val="false"/>
          <w:color w:val="A69AA2"/>
          <w:sz w:val="24"/>
          <w:szCs w:val="24"/>
          <w:rtl/>
        </w:rPr>
        <w:t xml:space="preserve">‏________ ________ 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מחלוקת במשנה: מכירת בית הכנסת (פרק ג משנה ב). השלימו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4403"/>
              <w:gridCol w:w="3302"/>
            </w:tblGrid>
            <w:tr>
              <w:trPr>
                <w:cantSplit/>
                <w:tblHeader/>
              </w:trPr>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אומר?</w:t>
                  </w:r>
                </w:p>
              </w:tc>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מה דעתו?</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הסבר / הלכה</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כתבו את ארבעת הדברים שלפי חכמים אסור למכור בית כנסת כדי לעשות בו אותם: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מהי נקודת המחלוקת בין רבי מאיר לחכמים?</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תרשים כאמד"ט: השלימו את התרשים לפי משנה 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991"/>
              <w:gridCol w:w="2972"/>
              <w:gridCol w:w="991"/>
              <w:gridCol w:w="2971"/>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w:t>
                  </w:r>
                </w:p>
              </w:tc>
              <w:tc>
                <w:tcPr>
                  <w:tcW w:type="dxa" w:w="297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97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97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פירוש «קַפַּנְדַּרְיָא»? </w:t>
      </w:r>
      <w:r>
        <w:rPr>
          <w:rFonts w:ascii="Rubik MG" w:cs="Rubik MG" w:eastAsia="Rubik MG" w:hAnsi="Rubik MG"/>
          <w:b w:val="false"/>
          <w:color w:val="A69AA2"/>
          <w:sz w:val="24"/>
          <w:szCs w:val="24"/>
          <w:rtl/>
        </w:rPr>
        <w:t xml:space="preserve">‏________ 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ארבע פרשיות (משנה ד): השלימו את הטבלה. בעמודה האחרונה כתבו את הטעם לפי 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2830"/>
              <w:gridCol w:w="5661"/>
            </w:tblGrid>
            <w:tr>
              <w:trPr>
                <w:cantSplit/>
                <w:tblHeader/>
              </w:trPr>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שבת</w:t>
                  </w:r>
                </w:p>
              </w:tc>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הפרשה</w:t>
                  </w:r>
                </w:p>
              </w:tc>
              <w:tc>
                <w:tcPr>
                  <w:tcW w:type="dxa" w:w="566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למה קוראים אותה? (לפי הברטנורא)</w:t>
                  </w:r>
                </w:p>
              </w:tc>
            </w:tr>
            <w:tr>
              <w:trPr>
                <w:cantSplit/>
                <w:tblHeader w:val="false"/>
                <w:trHeight w:val="500" w:hRule="atLeast"/>
              </w:trPr>
              <w:tc>
                <w:tcPr>
                  <w:tcW w:type="dxa" w:w="14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ראשונה</w:t>
                  </w:r>
                </w:p>
              </w:tc>
              <w:tc>
                <w:tcPr>
                  <w:tcW w:type="dxa" w:w="2830"/>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566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4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שנייה</w:t>
                  </w:r>
                </w:p>
              </w:tc>
              <w:tc>
                <w:tcPr>
                  <w:tcW w:type="dxa" w:w="2830"/>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566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4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שלישית</w:t>
                  </w:r>
                </w:p>
              </w:tc>
              <w:tc>
                <w:tcPr>
                  <w:tcW w:type="dxa" w:w="2830"/>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566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4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רביעית</w:t>
                  </w:r>
                </w:p>
              </w:tc>
              <w:tc>
                <w:tcPr>
                  <w:tcW w:type="dxa" w:w="2830"/>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566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ראש חודש אדר חל ביום שלישי. באיזו שבת יקראו פרשת שקלים? </w:t>
      </w:r>
      <w:r>
        <w:rPr>
          <w:rFonts w:ascii="Rubik MG" w:cs="Rubik MG" w:eastAsia="Rubik MG" w:hAnsi="Rubik MG"/>
          <w:b w:val="false"/>
          <w:color w:val="A69AA2"/>
          <w:sz w:val="24"/>
          <w:szCs w:val="24"/>
          <w:rtl/>
        </w:rPr>
        <w:t xml:space="preserve">‏________ ________ 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זוגות מתאימים (משניות ה–ו): מתחו קו בין המועד לבין הפרשה שקוראים בו.</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המועד</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הפרשה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פורים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שבעה שבועות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חנוכה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אחרי מות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עצרת (שבועות)</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ויבא עמלק</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יום הכיפורים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ברכות וקללות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תעניות</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בנשיאים</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(8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מה פירוש «וְאֵין עוֹלִין לָהֶם מִן הָחֶשְׁבּוֹן» (בקריאה בשני, בחמישי ובשבת במנחה)?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בשבת הבאה חוזרים וקוראים את אותו קטע</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לא קוראים בהם בתורה כלל</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הקורא אינו מברך</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קוראים רק שלושה פסוקים</w:t>
      </w:r>
    </w:p>
    <w:p>
      <w:pPr>
        <w:keepLines/>
        <w:bidi/>
        <w:spacing w:after="90" w:before="40" w:line="300"/>
        <w:ind w:start="420"/>
        <w:jc w:val="both"/>
      </w:pPr>
      <w:r>
        <w:rPr>
          <w:rFonts w:ascii="Rubik MG" w:cs="Rubik MG" w:eastAsia="Rubik MG" w:hAnsi="Rubik MG"/>
          <w:b w:val="false"/>
          <w:color w:val="2A1F28"/>
          <w:sz w:val="24"/>
          <w:szCs w:val="24"/>
          <w:rtl/>
        </w:rPr>
        <w:t xml:space="preserve">מה לומדים מהפסוק «וַיְדַבֵּר מֹשֶׁה אֶת מֹעֲדֵי ה' אֶל בְּנֵי יִשְׂרָאֵל»?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שיש לקרוא רק בשבת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שקוראים בכל מועד מעניין המועד</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שאין מפסיקין בקללות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שקוראים שלושה בשני ובחמישי</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(8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בחמישית (אחרי ארבע הפרשיות) חוזרים לסדר הרגיל.</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בקריאת הקללות מפסיקים בין העולים, וכל אחד קורא קטע.</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בראש השנה קוראים «בחודש השביעי באחד לחודש».</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בכל ימי חג הסוכות קוראים רק את פרשת המועדות.</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חושבים לעומק: על בית כנסת שחרב ועלו בו עשבים אומרת המשנה: «עָלוּ בּוֹ עֲשָׂבִים, לֹא יִתְלוֹשׁ, מִפְּנֵי עָגְמַת נֶפֶשׁ». קראו את הברטנורא:</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מפני עגמת נפש – </w:t>
                  </w:r>
                  <w:r>
                    <w:rPr>
                      <w:rFonts w:ascii="Frank Ruhl TB" w:cs="Frank Ruhl TB" w:eastAsia="Frank Ruhl TB" w:hAnsi="Frank Ruhl TB"/>
                      <w:b w:val="false"/>
                      <w:color w:val="2A1F28"/>
                      <w:sz w:val="25"/>
                      <w:szCs w:val="25"/>
                      <w:rtl/>
                    </w:rPr>
                    <w:t xml:space="preserve">שיזכרו ימי בנינו ויתנו לב לבנותו אם יוכלו, או יבקשו עליו רחמים שיחזור.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למה דווקא העשבים שעלו בבית הכנסת החרב הם טובים, לפי הברטנורא? מה הם גורמים לאנשים לעשות? ומה אתם יכולים ללמוד מכך על היחס שלנו לבית הכנסת שלנו היום?</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QQS3QQ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מבחנים · מבחן פרק ד</w:t>
            </w:r>
          </w:p>
          <w:p>
            <w:pPr>
              <w:keepNext/>
              <w:keepLines/>
              <w:bidi/>
              <w:spacing w:after="48" w:before="0" w:line="223" w:lineRule="auto"/>
              <w:jc w:val="both"/>
            </w:pPr>
            <w:r>
              <w:rPr>
                <w:rFonts w:ascii="Suez One" w:cs="Suez One" w:eastAsia="Suez One" w:hAnsi="Suez One"/>
                <w:b w:val="false"/>
                <w:color w:val="5B2245"/>
                <w:sz w:val="44"/>
                <w:szCs w:val="44"/>
                <w:rtl/>
              </w:rPr>
              <w:t xml:space="preserve">מבחן – פרק רביעי: הקורא עומד</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קראו את דברי המשנה (פרק ד משנה א) ואת הברטנורא, וענו:</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«הַקּוֹרֵא אֶת הַמְּגִלָּה – עוֹמֵד וְיוֹשֵׁב. קְרָאָהּ אֶחָד, קְרָאוּהָ שְׁנַיִם, יָצְאוּ»</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קראוה שנים – </w:t>
                  </w:r>
                  <w:r>
                    <w:rPr>
                      <w:rFonts w:ascii="Frank Ruhl TB" w:cs="Frank Ruhl TB" w:eastAsia="Frank Ruhl TB" w:hAnsi="Frank Ruhl TB"/>
                      <w:b w:val="false"/>
                      <w:color w:val="2A1F28"/>
                      <w:sz w:val="25"/>
                      <w:szCs w:val="25"/>
                      <w:rtl/>
                    </w:rPr>
                    <w:t xml:space="preserve">ביחד יצאו. ולא אמרינן שני קולות אין נשמעין כאחד, דכיון דחביבא להו יהבי דעתייהו: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האם הקורא את המגילה צריך לעמוד? </w:t>
      </w:r>
      <w:r>
        <w:rPr>
          <w:rFonts w:ascii="Rubik MG" w:cs="Rubik MG" w:eastAsia="Rubik MG" w:hAnsi="Rubik MG"/>
          <w:b w:val="false"/>
          <w:color w:val="A69AA2"/>
          <w:sz w:val="24"/>
          <w:szCs w:val="24"/>
          <w:rtl/>
        </w:rPr>
        <w:t xml:space="preserve">‏________ ________ ________ ________‏</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בדרך כלל «שני קולות אין נשמעין כאחד» – קשה לשמוע שני אנשים שמדברים יחד. למה במגילה שניים שקראו יחד – יצאו? הסבירו לפי הברטנורא.</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כמה עולים לתורה? (משניות א–ב). השלימו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15"/>
              <w:gridCol w:w="1238"/>
              <w:gridCol w:w="2477"/>
              <w:gridCol w:w="2476"/>
            </w:tblGrid>
            <w:tr>
              <w:trPr>
                <w:cantSplit/>
                <w:tblHeader/>
              </w:trPr>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היום</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כמה קורין?</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מוסיפין עליהן? (לפי לשון המשנה)</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מפטירין בנביא?</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שני, חמישי ושבת במנחה</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ראשי חודשים וחול המועד</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טוב</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הכיפורים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שבת</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השלימו את «זה הכלל» של משנה ב: «כָּל שֶׁיֵּשׁ בּוֹ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וְאֵינוֹ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קוֹרִין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עיון בברטנורא: למה בכל יום מספר העולים שונה?</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בי"ט ה' – </w:t>
                  </w:r>
                  <w:r>
                    <w:rPr>
                      <w:rFonts w:ascii="Frank Ruhl TB" w:cs="Frank Ruhl TB" w:eastAsia="Frank Ruhl TB" w:hAnsi="Frank Ruhl TB"/>
                      <w:b w:val="false"/>
                      <w:color w:val="2A1F28"/>
                      <w:sz w:val="25"/>
                      <w:szCs w:val="25"/>
                      <w:rtl/>
                    </w:rPr>
                    <w:t xml:space="preserve">דכל דטפי ליה מלתא מחבריה, טפי ליה גברא. הלכך בראשי חדשים ובמועד דאיכא קרבן מוסף קורין ד'. יו"ט דאיכא בטול מלאכה קורין חמשה. ויוה"כ דענוש כרת קורין ששה. שבת דחיוב סקילה קורין שבעה: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הסבירו במילים שלכם את הכלל «כל דטפי ליה מלתא מחבריה, טפי ליה גברא».</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מה «מוסיף» כל יום? השלימו: ראש חודש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יום טוב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יום הכיפורים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שבת –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דברים שבקדושה (משנה ג): «אֵין פּוֹרְסִין אֶת שְׁמַע, וְאֵין עוֹבְרִין לִפְנֵי הַתֵּבָה, וְאֵין נוֹשְׂאִין אֶת כַּפֵּיהֶם, וְאֵין קוֹרִין בַּתּוֹרָה... פָּחוֹת מֵעֲשָׂרָה».</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ואין קורין בתורה – </w:t>
                  </w:r>
                  <w:r>
                    <w:rPr>
                      <w:rFonts w:ascii="Frank Ruhl TB" w:cs="Frank Ruhl TB" w:eastAsia="Frank Ruhl TB" w:hAnsi="Frank Ruhl TB"/>
                      <w:b w:val="false"/>
                      <w:color w:val="2A1F28"/>
                      <w:sz w:val="25"/>
                      <w:szCs w:val="25"/>
                      <w:rtl/>
                    </w:rPr>
                    <w:t xml:space="preserve">בצבור. וכל הני אין נעשים בפחות מעשרה, דכתיב (ויקרא כב) ונקדשתי בתוך בני ישראל, כל דבר שבקדושה לא יהא בפחות מעשרה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כתבו עוד שלושה דברים מהמשנה שאין עושים פחות מעשרה: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 </w:t>
      </w:r>
      <w:r>
        <w:rPr>
          <w:rFonts w:ascii="Rubik MG" w:cs="Rubik MG" w:eastAsia="Rubik MG" w:hAnsi="Rubik MG"/>
          <w:b w:val="false"/>
          <w:color w:val="A69AA2"/>
          <w:sz w:val="24"/>
          <w:szCs w:val="24"/>
          <w:rtl/>
        </w:rPr>
        <w:t xml:space="preserve">‏________ ________ ________ ________ ________ ________‏</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מאיזה פסוק לומד הברטנורא שדבר שבקדושה צריך עשרה? </w:t>
      </w:r>
      <w:r>
        <w:rPr>
          <w:rFonts w:ascii="Rubik MG" w:cs="Rubik MG" w:eastAsia="Rubik MG" w:hAnsi="Rubik MG"/>
          <w:b w:val="false"/>
          <w:color w:val="A69AA2"/>
          <w:sz w:val="24"/>
          <w:szCs w:val="24"/>
          <w:rtl/>
        </w:rPr>
        <w:t xml:space="preserve">‏________ ________ ________ ________‏</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מה פירוש «עוֹבֵר לִפְנֵי הַתֵּבָה»? </w:t>
      </w:r>
      <w:r>
        <w:rPr>
          <w:rFonts w:ascii="Rubik MG" w:cs="Rubik MG" w:eastAsia="Rubik MG" w:hAnsi="Rubik MG"/>
          <w:b w:val="false"/>
          <w:color w:val="A69AA2"/>
          <w:sz w:val="24"/>
          <w:szCs w:val="24"/>
          <w:rtl/>
        </w:rPr>
        <w:t xml:space="preserve">‏________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ההבדל?» – קטן ופוחח (משנה ו). כתבו בכל משבצת «כן» או «לא».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1415"/>
              <w:gridCol w:w="1415"/>
              <w:gridCol w:w="1415"/>
              <w:gridCol w:w="1415"/>
              <w:gridCol w:w="1416"/>
            </w:tblGrid>
            <w:tr>
              <w:trPr>
                <w:cantSplit/>
                <w:tblHeader/>
              </w:trPr>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קורא בתורה</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מתרגם</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פורס על שמע</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עובר לפני התבה</w:t>
                  </w:r>
                </w:p>
              </w:tc>
              <w:tc>
                <w:tcPr>
                  <w:tcW w:type="dxa" w:w="141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נושא את כפיו</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קָטָן</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41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פּוֹחֵחַ (בגדיו קרועים)</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41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למה הפוחח אינו קורא בתורה, לפי הברטנורא? </w:t>
      </w:r>
      <w:r>
        <w:rPr>
          <w:rFonts w:ascii="Rubik MG" w:cs="Rubik MG" w:eastAsia="Rubik MG" w:hAnsi="Rubik MG"/>
          <w:b w:val="false"/>
          <w:color w:val="A69AA2"/>
          <w:sz w:val="24"/>
          <w:szCs w:val="24"/>
          <w:rtl/>
        </w:rPr>
        <w:t xml:space="preserve">‏________ ________ ________‏</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«סוּמָא פּוֹרֵס אֶת שְׁמַע». מה דעת רבי יהודה על מי שלא ראה מאורות מימיו? </w:t>
      </w:r>
      <w:r>
        <w:rPr>
          <w:rFonts w:ascii="Rubik MG" w:cs="Rubik MG" w:eastAsia="Rubik MG" w:hAnsi="Rubik MG"/>
          <w:b w:val="false"/>
          <w:color w:val="A69AA2"/>
          <w:sz w:val="24"/>
          <w:szCs w:val="24"/>
          <w:rtl/>
        </w:rPr>
        <w:t xml:space="preserve">‏________ ________ ________‏</w:t>
      </w:r>
      <w:r>
        <w:rPr>
          <w:rFonts w:ascii="Rubik MG" w:cs="Rubik MG" w:eastAsia="Rubik MG" w:hAnsi="Rubik MG"/>
          <w:b w:val="false"/>
          <w:color w:val="2A1F28"/>
          <w:sz w:val="24"/>
          <w:szCs w:val="24"/>
          <w:rtl/>
        </w:rPr>
        <w:t xml:space="preserve">. כמי ההלכה? </w:t>
      </w:r>
      <w:r>
        <w:rPr>
          <w:rFonts w:ascii="Rubik MG" w:cs="Rubik MG" w:eastAsia="Rubik MG" w:hAnsi="Rubik MG"/>
          <w:b w:val="false"/>
          <w:color w:val="A69AA2"/>
          <w:sz w:val="24"/>
          <w:szCs w:val="24"/>
          <w:rtl/>
        </w:rPr>
        <w:t xml:space="preserve">‏________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הקורא בתורה לא יקרא פחות משלושה פסוקים.</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מדלגין בתורה, ואין מדלגין בנביא.</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כהן שיש בידיו מומין לא ישא את כפיו.</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מי שעשה תפילין עגולות – קיים מצווה.</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יש בתורה פרשיות שקוראים אותן בציבור ואין מתרגמים אותן.</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זוגות מתאימים: מתחו קו בין המושג לבין ההסבר שלו.</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פּוֹרֵס עַל שְׁמַע</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ברכת כהנים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מְתֻרְגְּמָן</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מי שקורא את ההפטרה מספרי הנביאים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נְשִׂיאַת כַּפַּיִם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אומר קדיש, ברכו וברכה ראשונה של קריאת שמע לאנשים שלא שמעו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מַפְטִיר בַּנָּבִיא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מי שמתרגם את הקריאה לארמית בעל פה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פּוֹחֵחַ</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מי שבגדיו קרועים וזרועותיו נראים</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(8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למה לא יקרא הקורא בתורה למתורגמן יותר מפסוק אחד?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כדי שהקריאה לא תהיה ארוכה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שלא יטעה המתורגמן, שמתרגם על פה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כי אסור לתרגם יותר מפסוק</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כדי שהציבור יענה אמן</w:t>
      </w:r>
    </w:p>
    <w:p>
      <w:pPr>
        <w:keepLines/>
        <w:bidi/>
        <w:spacing w:after="90" w:before="40" w:line="300"/>
        <w:ind w:start="420"/>
        <w:jc w:val="both"/>
      </w:pPr>
      <w:r>
        <w:rPr>
          <w:rFonts w:ascii="Rubik MG" w:cs="Rubik MG" w:eastAsia="Rubik MG" w:hAnsi="Rubik MG"/>
          <w:b w:val="false"/>
          <w:color w:val="2A1F28"/>
          <w:sz w:val="24"/>
          <w:szCs w:val="24"/>
          <w:rtl/>
        </w:rPr>
        <w:t xml:space="preserve">מי שמפטיר בנביא – מה עוד הוא עושה לפי משנה 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קורא בתורה ראשון</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פורס על שמע ועובר לפני התבה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מתרגם את ההפטרה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מברך רק לאחריה</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המשנה בחיינו: «כל דבר שבקדושה לא יהא בפחות מעשרה». לדעתכם, למה חשוב שקדיש, קדושה וקריאת התורה ייאמרו דווקא בציבור (במניין)? ספרו על פעם שעזרתם להשלים מניין, או שראיתם כמה חשוב כל אחד מהעשרה.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QQS4QQ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מבחנים · מבחן מסכם</w:t>
            </w:r>
          </w:p>
          <w:p>
            <w:pPr>
              <w:keepNext/>
              <w:keepLines/>
              <w:bidi/>
              <w:spacing w:after="48" w:before="0" w:line="223" w:lineRule="auto"/>
              <w:jc w:val="both"/>
            </w:pPr>
            <w:r>
              <w:rPr>
                <w:rFonts w:ascii="Suez One" w:cs="Suez One" w:eastAsia="Suez One" w:hAnsi="Suez One"/>
                <w:b w:val="false"/>
                <w:color w:val="5B2245"/>
                <w:sz w:val="44"/>
                <w:szCs w:val="44"/>
                <w:rtl/>
              </w:rPr>
              <w:t xml:space="preserve">מבחן מסכם – מסכת מגילה</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המבחן עוסק בכל ארבעת הפרקים של המסכת.</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זוגות מתאימים: מתחו קו בין שם הפרק לבין הנושא המרכזי שלו.</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שם הפרק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הנושא המרכזי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פרק א – מגילה נקראת</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מכירת דברים שבקדושה, כבוד בית הכנסת וקריאת התורה במועדים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פרק ב – הקורא למפרע</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כמה עולים לתורה, דברים שבקדושה, ההפטרה ונשיאת כפיים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פרק ג – בני העיר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זמני קריאת המגילה, ומשניות «אין בין... אלא...»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פרק ד – הקורא עומד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איך קוראים את המגילה, מי כשר לקרוא, ומצוות של יום ושל לילה</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קראו את פרק א משנה ה והשלימו את תרשים הכאמד"ט:</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«אֵין בֵּין יוֹם טוֹב לַשַּׁבָּת, אֶלָּא אֹכֶל נֶפֶשׁ בִּלְבָד. אֵין בֵּין שַׁבָּת לְיוֹם הַכִּפּוּרִים, אֶלָּא שֶׁזֶּה זְדוֹנוֹ בִּידֵי אָדָם, וְזֶה זְדוֹנוֹ בְּכָרֵת»</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1"/>
              <w:gridCol w:w="901"/>
              <w:gridCol w:w="1801"/>
              <w:gridCol w:w="2702"/>
              <w:gridCol w:w="2701"/>
            </w:tblGrid>
            <w:tr>
              <w:trPr>
                <w:cantSplit/>
                <w:tblHeader/>
              </w:trPr>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9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 (מה משווים?)</w:t>
                  </w:r>
                </w:p>
              </w:tc>
              <w:tc>
                <w:tcPr>
                  <w:tcW w:type="dxa" w:w="27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 (מה ההבדל?)</w:t>
                  </w:r>
                </w:p>
              </w:tc>
              <w:tc>
                <w:tcPr>
                  <w:tcW w:type="dxa" w:w="27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 / הסבר</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8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טוב ושבת</w:t>
                  </w:r>
                </w:p>
              </w:tc>
              <w:tc>
                <w:tcPr>
                  <w:tcW w:type="dxa" w:w="27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7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8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7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7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פירוש «זְדוֹנוֹ»? </w:t>
      </w:r>
      <w:r>
        <w:rPr>
          <w:rFonts w:ascii="Rubik MG" w:cs="Rubik MG" w:eastAsia="Rubik MG" w:hAnsi="Rubik MG"/>
          <w:b w:val="false"/>
          <w:color w:val="A69AA2"/>
          <w:sz w:val="24"/>
          <w:szCs w:val="24"/>
          <w:rtl/>
        </w:rPr>
        <w:t xml:space="preserve">‏________ 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עיון בברטנורא (פרק א משנה ח): רבן שמעון בן גמליאל אומר שספרים מותר לכתוב, מלבד אשורית, רק ביוונית.</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אין נכתבין אלא יונית – </w:t>
                  </w:r>
                  <w:r>
                    <w:rPr>
                      <w:rFonts w:ascii="Frank Ruhl TB" w:cs="Frank Ruhl TB" w:eastAsia="Frank Ruhl TB" w:hAnsi="Frank Ruhl TB"/>
                      <w:b w:val="false"/>
                      <w:color w:val="2A1F28"/>
                      <w:sz w:val="25"/>
                      <w:szCs w:val="25"/>
                      <w:rtl/>
                    </w:rPr>
                    <w:t xml:space="preserve">וטעמא דשרו ספרים ביונית יותר משאר לשונות, דאמר קרא (בראשית ט,) יפת אלהים ליפת וישכון באהלי שם... ואין לך לשון יפה בכל בני יפת כלשון יוני. והלכה כרשב"ג. מיהו בזמן הזה כבר אבד אותו לשון יוני ונשתבש, לפיכך אין כותבין ספרים בזמן הזה אלא בכתב הקודש ובלשון הקודש: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מאיזה פסוק לומד הברטנורא שיוונית מיוחדת? </w:t>
      </w:r>
      <w:r>
        <w:rPr>
          <w:rFonts w:ascii="Rubik MG" w:cs="Rubik MG" w:eastAsia="Rubik MG" w:hAnsi="Rubik MG"/>
          <w:b w:val="false"/>
          <w:color w:val="A69AA2"/>
          <w:sz w:val="24"/>
          <w:szCs w:val="24"/>
          <w:rtl/>
        </w:rPr>
        <w:t xml:space="preserve">‏________ ________ ________ ________ ________‏</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למה היום אין כותבים ספרים (ספר תורה) ביוונית, לפי הברטנורא?</w:t>
      </w:r>
    </w:p>
    <w:tbl>
      <w:tblPr>
        <w:bidiVisual/>
        <w:tblW w:type="dxa" w:w="91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106"/>
      </w:tblGrid>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1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0" w:line="279"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באיזה דבר תפילין ומזוזות שונות מספרים, לפי המשנה? </w:t>
      </w:r>
      <w:r>
        <w:rPr>
          <w:rFonts w:ascii="Rubik MG" w:cs="Rubik MG" w:eastAsia="Rubik MG" w:hAnsi="Rubik MG"/>
          <w:b w:val="false"/>
          <w:color w:val="A69AA2"/>
          <w:sz w:val="24"/>
          <w:szCs w:val="24"/>
          <w:rtl/>
        </w:rPr>
        <w:t xml:space="preserve">‏________ ________ ________ ________ ________ ________‏</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«מי אמר?» – השלימו את שם התנא ואת מקום הדעה במסכת.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24"/>
                      <w:szCs w:val="24"/>
                      <w:rtl/>
                    </w:rPr>
                    <w:t xml:space="preserve">רבי מאיר   ·   רבי יהודה   ·   רבי יוסי   ·   רבן שמעון בן גמליאל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הדעה</w:t>
                  </w:r>
                </w:p>
              </w:tc>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פרק</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«אַף בַּסְּפָרִים, לֹא הִתִּירוּ שֶׁיִּכָּתְבוּ אֶלָּא יְוָנִית»</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2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קוראים את המגילה «מֵאַחַר הַדְּבָרִים הָאֵלֶּה»</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2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מוכרין בית הכנסת אלא על תנאי שאם ירצו יחזירוהו</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2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קטן כשר לקרוא את המגילה («מַכְשִׁיר בְּקָטָן»)</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22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הדין?» – כתבו את הדין לפי המשנה.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4403"/>
            </w:tblGrid>
            <w:tr>
              <w:trPr>
                <w:cantSplit/>
                <w:tblHeader/>
              </w:trPr>
              <w:tc>
                <w:tcPr>
                  <w:tcW w:type="dxa" w:w="55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המקרה</w:t>
                  </w:r>
                </w:p>
              </w:tc>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הדין</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י"ד באדר חל ביום ראשון («אַחַר הַשַּׁבָּת»). מתי קוראים בכפר?</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מגילה נכתבה בסיקרא (צבע אדום) על קלף.</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בני העיר מכרו ספר תורה. האם מותר להם לקנות בכסף ספרי נביאים?</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שני רגיל בשבוע. כמה עולים לתורה?</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מי שקרא את המגילה בהפסקות (סירוגין) – לא יצא.</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בשבת שנייה של ארבע הפרשיות קוראים פרשת «זכור».</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מזמנים בשם (בזימון) גם פחות מעשרה.</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בשילה אכלו קדשים קלים בכל מקום שרואים ממנו את שילה.</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מה ההבדל בין מצורע מוסגר למצורע מוחלט, לפי המשנה?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במוחלט יש פריעה ופרימה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במוסגר מביאים קרבן</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אין ביניהם הבדל</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המוסגר טמא</w:t>
      </w:r>
    </w:p>
    <w:p>
      <w:pPr>
        <w:keepLines/>
        <w:bidi/>
        <w:spacing w:after="90" w:before="40" w:line="300"/>
        <w:ind w:start="420"/>
        <w:jc w:val="both"/>
      </w:pPr>
      <w:r>
        <w:rPr>
          <w:rFonts w:ascii="Rubik MG" w:cs="Rubik MG" w:eastAsia="Rubik MG" w:hAnsi="Rubik MG"/>
          <w:b w:val="false"/>
          <w:color w:val="2A1F28"/>
          <w:sz w:val="24"/>
          <w:szCs w:val="24"/>
          <w:rtl/>
        </w:rPr>
        <w:t xml:space="preserve">מה ההבדל בין קדושת שילה לקדושת ירושלים?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בשילה אכלו קדשי קדשים בכל הרואה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אחרי שילה יש היתר לבמות, ואחרי ירושלים – אין היתר</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בירושלים אוכלים מעשר שני בכל הרואה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אין ביניהן הבדל</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השלימו את הסיכום בעזרת מחסן המילים.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24"/>
                      <w:szCs w:val="24"/>
                      <w:rtl/>
                    </w:rPr>
                    <w:t xml:space="preserve">הכניסה   ·   עשרה   ·   אשורית   ·   ט"ו   ·   למפרע   ·   שקלים   ·   מעלין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כרכים המוקפים חומה מימות יהושע קוראים את המגילה ב</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והכפרים מקדימים ליום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הקורא את המגילה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 לא יצא, ומגילה כשרה צריכה להיות כתובה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על הספר ובדיו. בדברים שבקדושה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ואין מורידין. בשבת הראשונה של ארבע הפרשיות קוראים פרשת </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 ודבר שבקדושה אין אומרים בפחות מ</w:t>
      </w:r>
      <w:r>
        <w:rPr>
          <w:rFonts w:ascii="Rubik MG" w:cs="Rubik MG" w:eastAsia="Rubik MG" w:hAnsi="Rubik MG"/>
          <w:b w:val="false"/>
          <w:color w:val="A69AA2"/>
          <w:sz w:val="24"/>
          <w:szCs w:val="24"/>
          <w:rtl/>
        </w:rPr>
        <w:t xml:space="preserve">‏________ ________‏</w:t>
      </w:r>
      <w:r>
        <w:rPr>
          <w:rFonts w:ascii="Rubik MG" w:cs="Rubik MG" w:eastAsia="Rubik MG" w:hAnsi="Rubik MG"/>
          <w:b w:val="false"/>
          <w:color w:val="2A1F28"/>
          <w:sz w:val="24"/>
          <w:szCs w:val="24"/>
          <w:rtl/>
        </w:rPr>
        <w:t xml:space="preserve">.</w:t>
      </w:r>
    </w:p>
    <w:p>
      <w:pPr>
        <w:keepNext w:val="false"/>
        <w:keepLines/>
        <w:bidi/>
        <w:spacing w:after="0" w:before="96" w:line="279"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חושבים לעומק: משרד החינוך מדגיש שמסכת מגילה עוסקת לא רק בפורים, אלא גם בקדושת בית הכנסת, בקריאת התורה וההפטרות ובספרים, תפילין ומזוזות. לדעתכם, מה הקשר בין קריאת המגילה לבין הנושאים האלה? מה המסכת מלמדת אותנו על קריאה בציבור ועל כבוד לדברים שבקדושה?</w:t>
      </w:r>
    </w:p>
    <w:tbl>
      <w:tblPr>
        <w:bidiVisual/>
        <w:tblW w:type="dxa" w:w="948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86"/>
      </w:tblGrid>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r>
        <w:trPr>
          <w:cantSplit/>
          <w:trHeight w:val="387" w:hRule="exact"/>
        </w:trPr>
        <w:tc>
          <w:tcPr>
            <w:tcW w:type="dxa" w:w="948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16"/>
                <w:szCs w:val="16"/>
                <w:rtl/>
              </w:rPr>
              <w:t xml:space="preserve"> </w:t>
            </w:r>
          </w:p>
        </w:tc>
      </w:tr>
    </w:tbl>
    <w:p>
      <w:pPr>
        <w:sectPr>
          <w:headerReference w:type="default" r:id="rId8"/>
          <w:footerReference w:type="default" r:id="rId9"/>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2A1F28"/>
          <w:sz w:val="8"/>
          <w:szCs w:val="8"/>
          <w:rtl/>
        </w:rPr>
        <w:t xml:space="preserve"> </w:t>
      </w:r>
    </w:p>
    <w:p>
      <w:pPr>
        <w:keepNext w:val="false"/>
        <w:keepLines/>
        <w:bidi/>
        <w:spacing w:after="20" w:before="0" w:line="300" w:lineRule="auto"/>
        <w:jc w:val="center"/>
      </w:pPr>
      <w:r>
        <w:rPr>
          <w:rFonts w:ascii="Suez One" w:cs="Suez One" w:eastAsia="Suez One" w:hAnsi="Suez One"/>
          <w:b w:val="false"/>
          <w:color w:val="FFFFFF"/>
          <w:sz w:val="60"/>
          <w:szCs w:val="60"/>
          <w:rtl/>
        </w:rPr>
        <w:t xml:space="preserve">מסכת מגילה</w:t>
      </w:r>
    </w:p>
    <w:p>
      <w:pPr>
        <w:keepNext w:val="false"/>
        <w:keepLines/>
        <w:bidi/>
        <w:spacing w:after="60" w:before="0" w:line="300" w:lineRule="auto"/>
        <w:jc w:val="center"/>
      </w:pPr>
      <w:r>
        <w:rPr>
          <w:rFonts w:ascii="Rubik Medium MG" w:cs="Rubik Medium MG" w:eastAsia="Rubik Medium MG" w:hAnsi="Rubik Medium MG"/>
          <w:b w:val="false"/>
          <w:color w:val="F5CF8A"/>
          <w:sz w:val="26"/>
          <w:szCs w:val="26"/>
          <w:rtl/>
        </w:rPr>
        <w:t xml:space="preserve">כיתה ז' · מבחנים</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בחוברת:</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לשון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מילון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תרשים כאמד"ט</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עיון בברטנורא</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המשנה בחיינו</w:t>
            </w:r>
          </w:p>
        </w:tc>
      </w:tr>
    </w:tbl>
    <w:p>
      <w:pPr>
        <w:spacing w:after="0" w:before="0" w:line="42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Frank Ruhl TB Bold" w:cs="Frank Ruhl TB Bold" w:eastAsia="Frank Ruhl TB Bold" w:hAnsi="Frank Ruhl TB Bold"/>
                <w:b w:val="false"/>
                <w:color w:val="5B2245"/>
                <w:sz w:val="38"/>
                <w:szCs w:val="38"/>
                <w:rtl/>
              </w:rPr>
              <w:t xml:space="preserve">הֲדְרָן עֲלָךְ מַסֶּכֶת מְגִלָּה</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וְהַדְרָךְ עֲלָן, דַּעְתָּן עֲלָךְ וְדַעְתָּךְ עֲלָן</w:t>
            </w:r>
          </w:p>
        </w:tc>
      </w:tr>
    </w:tbl>
    <w:sectPr>
      <w:headerReference w:type="default" r:id="rId10"/>
      <w:footerReference w:type="default" r:id="rId11"/>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0050d009-341e-d265-31c6-7161a76c44e9}"/>
  </w:font>
  <w:font w:name="Suez One">
    <w:charset w:val="00"/>
    <w:family w:val="auto"/>
    <w:pitch w:val="variable"/>
    <w:sig w:usb0="E0002AFF" w:usb1="C000247B" w:usb2="00000009" w:usb3="00000000" w:csb0="000001FF" w:csb1="00000000"/>
    <w:embedRegular r:id="rId2" w:fontKey="{404273dd-5ef3-52e8-2167-98af8ddcc208}"/>
  </w:font>
  <w:font w:name="Rubik Bold MG">
    <w:charset w:val="00"/>
    <w:family w:val="auto"/>
    <w:pitch w:val="variable"/>
    <w:sig w:usb0="E0002AFF" w:usb1="C000247B" w:usb2="00000009" w:usb3="00000000" w:csb0="000001FF" w:csb1="00000000"/>
    <w:embedRegular r:id="rId3" w:fontKey="{039fe804-e294-6501-72ac-268f26c73028}"/>
  </w:font>
  <w:font w:name="Rubik Medium MG">
    <w:charset w:val="00"/>
    <w:family w:val="auto"/>
    <w:pitch w:val="variable"/>
    <w:sig w:usb0="E0002AFF" w:usb1="C000247B" w:usb2="00000009" w:usb3="00000000" w:csb0="000001FF" w:csb1="00000000"/>
    <w:embedRegular r:id="rId4" w:fontKey="{0a69fb98-7168-eac9-a633-2ec076f14638}"/>
  </w:font>
  <w:font w:name="Frank Ruhl TB">
    <w:charset w:val="00"/>
    <w:family w:val="auto"/>
    <w:pitch w:val="variable"/>
    <w:sig w:usb0="E0002AFF" w:usb1="C000247B" w:usb2="00000009" w:usb3="00000000" w:csb0="000001FF" w:csb1="00000000"/>
    <w:embedRegular r:id="rId5" w:fontKey="{55ca5a29-4d5e-bffa-c744-c6dc558d9f03}"/>
  </w:font>
  <w:font w:name="Frank Ruhl TB Bold">
    <w:charset w:val="00"/>
    <w:family w:val="auto"/>
    <w:pitch w:val="variable"/>
    <w:sig w:usb0="E0002AFF" w:usb1="C000247B" w:usb2="00000009" w:usb3="00000000" w:csb0="000001FF" w:csb1="00000000"/>
    <w:embedRegular r:id="rId6" w:fontKey="{073edd9c-e8b6-a650-f871-bc52ef6f61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uez One" w:cs="Suez One" w:eastAsia="Suez One" w:hAnsi="Suez One"/>
        <w:b w:val="false"/>
        <w:color w:val="F5CF8A"/>
        <w:sz w:val="23"/>
        <w:szCs w:val="23"/>
        <w:rtl/>
      </w:rPr>
      <w:t xml:space="preserve">מסכת מגילה</w:t>
    </w:r>
    <w:r>
      <w:rPr>
        <w:rFonts w:ascii="Rubik MG" w:cs="Rubik MG" w:eastAsia="Rubik MG" w:hAnsi="Rubik MG"/>
        <w:b w:val="false"/>
        <w:color w:val="D6E0EE"/>
        <w:sz w:val="22"/>
        <w:szCs w:val="22"/>
        <w:rtl/>
      </w:rPr>
      <w:t xml:space="preserve">   ·   מבחנים</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מבחנים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279" w:lineRule="auto"/>
            <w:jc w:val="both"/>
          </w:pPr>
          <w:r>
            <w:rPr>
              <w:rFonts w:ascii="Rubik Medium MG" w:cs="Rubik Medium MG" w:eastAsia="Rubik Medium MG" w:hAnsi="Rubik Medium MG"/>
              <w:b w:val="false"/>
              <w:color w:val="F5CF8A"/>
              <w:sz w:val="21"/>
              <w:szCs w:val="21"/>
              <w:rtl/>
            </w:rPr>
            <w:t xml:space="preserve">מבחנים · מסכת מגילה</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2A1F28"/>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image" Target="media/983c6e60f424ea5bfadbb0c1033ab03008ff6c85.png"/><Relationship Id="rId13" Type="http://schemas.openxmlformats.org/officeDocument/2006/relationships/image" Target="media/2fea3d8dc662858d4460d284f6f5a04e8d1b37b4.png"/><Relationship Id="rId14" Type="http://schemas.openxmlformats.org/officeDocument/2006/relationships/image" Target="media/443a7023b8aff9e421c61b718f109458ae6c71d6.png"/><Relationship Id="rId15" Type="http://schemas.openxmlformats.org/officeDocument/2006/relationships/image" Target="media/3214b4f4ba439a48a7c2b9d1425fd59fa3471ce6.png"/><Relationship Id="rId16" Type="http://schemas.openxmlformats.org/officeDocument/2006/relationships/image" Target="media/74ad6ad806bbafdfb24a0832bd945d24c1ce4540.png"/><Relationship Id="rId17" Type="http://schemas.openxmlformats.org/officeDocument/2006/relationships/image" Target="media/5eaf52b9b26bf3e4a8f3b82af5d4a5597fa65e2f.png"/><Relationship Id="rId18" Type="http://schemas.openxmlformats.org/officeDocument/2006/relationships/image" Target="media/33436656f45836a125d98517f86a239747e5fd79.png"/><Relationship Id="rId19" Type="http://schemas.openxmlformats.org/officeDocument/2006/relationships/image" Target="media/04e1d107950a7b1d4767e168d1644ccfbe30cf4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c3d812622c0cdfa3380ba0eb64f9a72d7e12c0.jpg"/></Relationships>
</file>

<file path=word/_rels/header2.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3.xml.rels><?xml version="1.0" encoding="UTF-8"?><Relationships xmlns="http://schemas.openxmlformats.org/package/2006/relationships"><Relationship Id="rId0" Type="http://schemas.openxmlformats.org/officeDocument/2006/relationships/image" Target="media/d7a910f395dafe263fecea5025cf4e8a2bb6aab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מגילה – מבחנים</dc:title>
  <cp:revision>1</cp:revision>
  <dcterms:created xsi:type="dcterms:W3CDTF">2026-10-23T04:31:44.292Z</dcterms:created>
  <dcterms:modified xsi:type="dcterms:W3CDTF">2026-10-23T04:31:44.292Z</dcterms:modified>
</cp:coreProperties>
</file>

<file path=docProps/custom.xml><?xml version="1.0" encoding="utf-8"?>
<Properties xmlns="http://schemas.openxmlformats.org/officeDocument/2006/custom-properties" xmlns:vt="http://schemas.openxmlformats.org/officeDocument/2006/docPropsVTypes"/>
</file>