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2A1F28"/>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משנה · חמ"ד</w:t>
      </w:r>
    </w:p>
    <w:p>
      <w:pPr>
        <w:keepNext w:val="false"/>
        <w:keepLines/>
        <w:bidi/>
        <w:spacing w:after="40" w:before="0" w:line="240" w:lineRule="auto"/>
        <w:jc w:val="center"/>
      </w:pPr>
      <w:r>
        <w:rPr>
          <w:rFonts w:ascii="Suez One" w:cs="Suez One" w:eastAsia="Suez One" w:hAnsi="Suez One"/>
          <w:b w:val="false"/>
          <w:color w:val="FFFFFF"/>
          <w:sz w:val="128"/>
          <w:szCs w:val="128"/>
          <w:rtl/>
        </w:rPr>
        <w:t xml:space="preserve">מסכת מגילה</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ז' · מבחנים – מחוון</w:t>
      </w:r>
    </w:p>
    <w:p>
      <w:pPr>
        <w:spacing w:after="0" w:before="0" w:line="800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Frank Ruhl TB Bold" w:cs="Frank Ruhl TB Bold" w:eastAsia="Frank Ruhl TB Bold" w:hAnsi="Frank Ruhl TB Bold"/>
                <w:b w:val="false"/>
                <w:color w:val="5B2245"/>
                <w:sz w:val="34"/>
                <w:szCs w:val="34"/>
                <w:rtl/>
              </w:rPr>
              <w:t xml:space="preserve">לַיְּהוּדִים הָיְתָה אוֹרָה וְשִׂמְחָה וְשָׂשֹׂן וִיקָר</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(אסתר ח, טז)</w:t>
            </w:r>
          </w:p>
        </w:tc>
      </w:tr>
    </w:tbl>
    <w:p>
      <w:pPr>
        <w:sectPr>
          <w:headerReference w:type="default" r:id="rId7"/>
          <w:pgSz w:w="11906" w:h="16838" w:orient="portrait"/>
          <w:pgMar w:top="700" w:right="1000" w:bottom="600" w:left="1000" w:header="300" w:footer="300" w:gutter="0"/>
          <w:pgNumType/>
          <w:docGrid w:linePitch="360"/>
        </w:sectPr>
      </w:pPr>
    </w:p>
    <w:p>
      <w:pPr>
        <w:keepNext/>
        <w:bidi/>
        <w:spacing w:after="60" w:before="0"/>
        <w:jc w:val="center"/>
      </w:pPr>
      <w:r>
        <w:rPr>
          <w:rFonts w:ascii="Suez One" w:cs="Suez One" w:eastAsia="Suez One" w:hAnsi="Suez One"/>
          <w:b w:val="false"/>
          <w:color w:val="5B2245"/>
          <w:sz w:val="41"/>
          <w:szCs w:val="41"/>
          <w:rtl/>
        </w:rPr>
        <w:t xml:space="preserve">מבחנים · מסכת מגילה</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428750" cy="104775"/>
                    </a:xfrm>
                    <a:prstGeom prst="rect">
                      <a:avLst/>
                    </a:prstGeom>
                  </pic:spPr>
                </pic:pic>
              </a:graphicData>
            </a:graphic>
          </wp:inline>
        </w:drawing>
      </w:r>
    </w:p>
    <w:p>
      <w:pPr>
        <w:spacing w:after="0" w:before="0" w:line="240"/>
      </w:pPr>
      <w:r>
        <w:rPr>
          <w:rFonts w:ascii="Arial" w:cs="Arial" w:eastAsia="Arial" w:hAnsi="Arial"/>
          <w:color w:val="FDF8F2"/>
          <w:sz w:val="2"/>
          <w:szCs w:val="2"/>
        </w:rPr>
        <w:t xml:space="preserve">QQS0QQ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מבחנים</w:t>
            </w:r>
          </w:p>
          <w:p>
            <w:pPr>
              <w:keepNext/>
              <w:keepLines/>
              <w:bidi/>
              <w:spacing w:after="60" w:before="0" w:line="240" w:lineRule="auto"/>
              <w:jc w:val="both"/>
            </w:pPr>
            <w:r>
              <w:rPr>
                <w:rFonts w:ascii="Suez One" w:cs="Suez One" w:eastAsia="Suez One" w:hAnsi="Suez One"/>
                <w:b w:val="false"/>
                <w:color w:val="5B2245"/>
                <w:sz w:val="51"/>
                <w:szCs w:val="51"/>
                <w:rtl/>
              </w:rPr>
              <w:t xml:space="preserve">מבחן – פרק ראשון: מגילה נקראת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קראו את דברי המשנה (פרק א משנה א) וענו:</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«כְּרַכִּין הַמֻקָּפִין חוֹמָה מִימוֹת יְהוֹשֻׁעַ בִּן נוּן, קוֹרִין בַּחֲמִשָּׁה עָשָׂר. כְּפָרִים וַעֲיָרוֹת גְּדוֹלוֹת, קוֹרִין בְּאַרְבָּעָה עָשָׂר; אֶלָּא שֶׁהַכְּפָרִים מַקְדִּימִין לְיוֹם הַכְּנִיסָה»</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באילו ימים בחודש אדר אפשר לקרוא את המגילה לפי המשנה? </w:t>
      </w:r>
      <w:r>
        <w:rPr>
          <w:rFonts w:ascii="Rubik Medium MG" w:cs="Rubik Medium MG" w:eastAsia="Rubik Medium MG" w:hAnsi="Rubik Medium MG"/>
          <w:b w:val="false"/>
          <w:color w:val="B3261E"/>
          <w:sz w:val="24"/>
          <w:szCs w:val="24"/>
          <w:u w:val="single" w:color="B3261E"/>
          <w:rtl/>
        </w:rPr>
        <w:t xml:space="preserve"> י"א, י"ב, י"ג, י"ד, ט"ו </w:t>
      </w:r>
      <w:r>
        <w:rPr>
          <w:rFonts w:ascii="Rubik MG" w:cs="Rubik MG" w:eastAsia="Rubik MG" w:hAnsi="Rubik MG"/>
          <w:b w:val="false"/>
          <w:color w:val="2A1F28"/>
          <w:sz w:val="24"/>
          <w:szCs w:val="24"/>
          <w:rtl/>
        </w:rPr>
        <w:t xml:space="preserve"> – «לֹא פָּחוֹת וְלֹא יוֹתֵר».</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מי קורא בט"ו באדר? </w:t>
      </w:r>
      <w:r>
        <w:rPr>
          <w:rFonts w:ascii="Rubik Medium MG" w:cs="Rubik Medium MG" w:eastAsia="Rubik Medium MG" w:hAnsi="Rubik Medium MG"/>
          <w:b w:val="false"/>
          <w:color w:val="B3261E"/>
          <w:sz w:val="24"/>
          <w:szCs w:val="24"/>
          <w:u w:val="single" w:color="B3261E"/>
          <w:rtl/>
        </w:rPr>
        <w:t xml:space="preserve"> כרכים המוקפים חומה מימות יהושע בן נון </w:t>
      </w:r>
      <w:r>
        <w:rPr>
          <w:rFonts w:ascii="Rubik MG" w:cs="Rubik MG" w:eastAsia="Rubik MG" w:hAnsi="Rubik MG"/>
          <w:b w:val="false"/>
          <w:color w:val="2A1F28"/>
          <w:sz w:val="24"/>
          <w:szCs w:val="24"/>
          <w:rtl/>
        </w:rPr>
        <w:t xml:space="preserve">. מי קורא בי"ד? </w:t>
      </w:r>
      <w:r>
        <w:rPr>
          <w:rFonts w:ascii="Rubik Medium MG" w:cs="Rubik Medium MG" w:eastAsia="Rubik Medium MG" w:hAnsi="Rubik Medium MG"/>
          <w:b w:val="false"/>
          <w:color w:val="B3261E"/>
          <w:sz w:val="24"/>
          <w:szCs w:val="24"/>
          <w:u w:val="single" w:color="B3261E"/>
          <w:rtl/>
        </w:rPr>
        <w:t xml:space="preserve"> כפרים ועיירות גדולות </w:t>
      </w:r>
      <w:r>
        <w:rPr>
          <w:rFonts w:ascii="Rubik MG" w:cs="Rubik MG" w:eastAsia="Rubik MG" w:hAnsi="Rubik MG"/>
          <w:b w:val="false"/>
          <w:color w:val="2A1F28"/>
          <w:sz w:val="24"/>
          <w:szCs w:val="24"/>
          <w:rtl/>
        </w:rPr>
        <w:t xml:space="preserve">.</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למה יש מקומות שקוראים לפני י"ד? הסבירו את המושג «יום הכניסה».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הכפרים מקדימים ליום הכניסה – יום שני או יום חמישי, שבו אנשי הכפרים נכנסים לעיר (לבית הדין או לשמוע קריאת התורה). שם קוראים להם את המגילה, כדי שלא יצטרכו לבוא שוב בי"ד. (ניקוד מלא: הסבר יום הכניסה + שני/חמישי.)</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תרשים כאמד"ט: השלימו את התרשים לפי משנה א. בכל שורה – מקום אחר.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991"/>
              <w:gridCol w:w="1981"/>
              <w:gridCol w:w="1981"/>
              <w:gridCol w:w="2972"/>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זמן קריאת המגילה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כרכים המוקפים חומה מימות יהושע</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קורין בט"ו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כמו שושן; כבוד לארץ ישראל שהייתה חרבה בימי מרדכי ואסתר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עיירות גדולות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קורין בי"ד</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«היהודים הפרזים» (שאינם מוקפים) עושים את יום י"ד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כפרים</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מקדימין ליום הכניסה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נכנסים לעיר בשני ובחמישי, ואינם בקיאים לקרוא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ניקוד: 2 נקודות לכל משבצת נכונה (הכותרת והאומר – נקודה אחת כל אחת). טעם במילים של התלמיד – מתקבל.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«כֵּיצַד?» – משנה ב מלמדת מה עושים כשיום י"ד חל בימים שונים בשבוע. השלימו את הטבלה: באיזה יום בשבוע וּבְאיזה תאריך קורא כל מקום?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2477"/>
              <w:gridCol w:w="2477"/>
              <w:gridCol w:w="2475"/>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י"ד חל ביום...</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כפרים</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עיירות גדולות</w:t>
                  </w:r>
                </w:p>
              </w:tc>
              <w:tc>
                <w:tcPr>
                  <w:tcW w:type="dxa" w:w="247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מוקפות חומה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בו ביום – יום שני, י"ד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בו ביום – יום שני, י"ד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למחר – יום שלישי, ט"ו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ערב שבת (שישי)</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מקדימין ליום הכניסה – חמישי, י"ג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בו ביום – שישי, י"ד </w:t>
                  </w:r>
                </w:p>
              </w:tc>
              <w:tc>
                <w:tcPr>
                  <w:tcW w:type="dxa" w:w="247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בו ביום – שישי, י"ד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מקדימין ליום הכניסה – חמישי, י"ב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מקדימין ליום הכניסה – חמישי, י"ב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למחר – ראשון, ט"ו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ד) </w:t>
      </w:r>
      <w:r>
        <w:rPr>
          <w:rFonts w:ascii="Rubik MG" w:cs="Rubik MG" w:eastAsia="Rubik MG" w:hAnsi="Rubik MG"/>
          <w:b w:val="false"/>
          <w:color w:val="2A1F28"/>
          <w:sz w:val="24"/>
          <w:szCs w:val="24"/>
          <w:rtl/>
        </w:rPr>
        <w:t xml:space="preserve">כשי"ד חל בערב שבת, המוקפים חומה אינם קוראים בט"ו. מדוע, לדעתכם?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ט"ו יחול בשבת, ובשבת אין קוראים את המגילה. לכן גם המוקפים מקדימים לי"ד (בו ביום) – מקדימין ולא מאחרין.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עיינו בדברי הברטנורא על משנה ג:</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ולא מקדימין – </w:t>
                  </w:r>
                  <w:r>
                    <w:rPr>
                      <w:rFonts w:ascii="Frank Ruhl TB" w:cs="Frank Ruhl TB" w:eastAsia="Frank Ruhl TB" w:hAnsi="Frank Ruhl TB"/>
                      <w:b w:val="false"/>
                      <w:color w:val="2A1F28"/>
                      <w:sz w:val="25"/>
                      <w:szCs w:val="25"/>
                      <w:rtl/>
                    </w:rPr>
                    <w:t xml:space="preserve">דאכתי לא מטי זמן חיובייהו. ותשעה באב, דאקדומי פורענותא לא מקדמינן: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אילו ארבעה דברים «מְאַחֲרִין וְלֹא מַקְדִּימִין» לפי המשנה? </w:t>
      </w:r>
      <w:r>
        <w:rPr>
          <w:rFonts w:ascii="Rubik Medium MG" w:cs="Rubik Medium MG" w:eastAsia="Rubik Medium MG" w:hAnsi="Rubik Medium MG"/>
          <w:b w:val="false"/>
          <w:color w:val="B3261E"/>
          <w:sz w:val="24"/>
          <w:szCs w:val="24"/>
          <w:u w:val="single" w:color="B3261E"/>
          <w:rtl/>
        </w:rPr>
        <w:t xml:space="preserve"> זמן עצי כהנים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תשעה באב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חגיגה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הקהל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הסבירו במילים שלכם את שני הטעמים שהברטנורא נותן. איזה טעם שייך לתשעה באב?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טעם כללי: עדיין לא הגיע זמן החיוב, ואי אפשר לקיים מצווה לפני זמנה – לכן דוחים ליום שאחרי. טעם לתשעה באב: «אקדומי פורענותא לא מקדמינן» – לא מקדימים יום של צער ופורענות; עדיף לאחר אותו.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ומה ההפך – מה «מַקְדִּימִין וְלֹא מְאַחֲרִין»? </w:t>
      </w:r>
      <w:r>
        <w:rPr>
          <w:rFonts w:ascii="Rubik Medium MG" w:cs="Rubik Medium MG" w:eastAsia="Rubik Medium MG" w:hAnsi="Rubik Medium MG"/>
          <w:b w:val="false"/>
          <w:color w:val="B3261E"/>
          <w:sz w:val="24"/>
          <w:szCs w:val="24"/>
          <w:u w:val="single" w:color="B3261E"/>
          <w:rtl/>
        </w:rPr>
        <w:t xml:space="preserve"> קריאת המגילה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(15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ההבדל?» – המשניות ד–יא בנויות במבנה «אֵין בֵּין... אֶלָּא...». השלימו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72"/>
              <w:gridCol w:w="2972"/>
              <w:gridCol w:w="3962"/>
            </w:tblGrid>
            <w:tr>
              <w:trPr>
                <w:cantSplit/>
                <w:tblHeader/>
              </w:trPr>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אין בין...</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אֶלָּא (ההבדל היחיד)</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אדר ראשון</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אדר שני</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קריאת המגילה ומתנות לאביונים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שבת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אוכל נפש בלבד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שבת – זדונו בידי אדם (מיתת בית דין); יום הכיפורים – זדונו בכרת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ספרים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תפילין ומזוזות</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ספרים נכתבים בכל לשון; תפילין ומזוזות רק אשורית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נדרים</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נדבות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בנדרים חייב באחריותן; בנדבות אינו חייב באחריותן </w:t>
                  </w:r>
                </w:p>
              </w:tc>
            </w:tr>
            <w:tr>
              <w:trPr>
                <w:cantSplit/>
                <w:tblHeader w:val="false"/>
                <w:trHeight w:val="500" w:hRule="atLeast"/>
              </w:trPr>
              <w:tc>
                <w:tcPr>
                  <w:tcW w:type="dxa" w:w="297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שילה</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ירושלים</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בשילה אוכלים קדשים קלים ומעשר שני בכל הרואה; בירושלים – לפנים מן החומה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ניקוד: 2.5 נקודות לכל שורה.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«עיר גדולה» היא עיר שיש בה עשרה בטלנים.</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שהודר הנאה מחברו מותר לעבור בשטח של חברו.</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המודר הנאה אסור בדריסת הרגל; רק המודר מאכל מותר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קראו את המגילה באדר ראשון ונתעברה השנה – אין צריך לקרוא שוב.</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קורין אותה שוב באדר השני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לפי רבן שמעון בן גמליאל, ספרים מותר לכתוב, מלבד אשורית, רק ביוונית.</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3 נקודות לכל שורה (סימון נכון + תיקון).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זוגות מתאימים: מתחו קו בין המושג לבין ההסבר שלו.</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בַּטְלָנִים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כל מקום שאפשר לראות ממנו את שילה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יוֹם הַכְּנִיסָה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נדר שאסור לו ליהנות מחברו בשום דבר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מוּדָּר הֲנָאָה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אנשים שפנויים ממלאכתם ומצויים תמיד בבית הכנסת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נְדָבָה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יום שני או חמישי שבו אנשי הכפרים באים לעיר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בְּכָל הָרוֹאֶה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«הרי זו עולה» – אם אבדה, אינו חייב באחריותה</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בטלנים – אנשים שפנויים ממלאכתם ומצויים בבית הכנסת · יום הכניסה – יום שני או חמישי שבו אנשי הכפרים באים לעיר · מודר הנאה – נדר שאסור לו ליהנות מחברו בשום דבר · נדבה – «הרי זו עולה», אם אבדה אינו חייב באחריותה · בכל הרואה – כל מקום שאפשר לראות ממנו את שילה.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2 נקודות לכל זוג.</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(7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מה ההבדל בין כהן משוח בשמן המשחה לבין כהן מרובה בגדים?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המשוח מביא פר על כל המצוות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מרובה הבגדים עובד ביום הכיפורים</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המשוח לובש שמונה בגדים</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אין ביניהם שום הבדל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רק המשוח מביא פר על כל המצוות («פַּר הַבָּא עַל כָּל הַמִּצְוֹת»).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Lines/>
        <w:bidi/>
        <w:spacing w:after="90" w:before="40" w:line="300"/>
        <w:ind w:start="420"/>
        <w:jc w:val="both"/>
      </w:pPr>
      <w:r>
        <w:rPr>
          <w:rFonts w:ascii="Rubik MG" w:cs="Rubik MG" w:eastAsia="Rubik MG" w:hAnsi="Rubik MG"/>
          <w:b w:val="false"/>
          <w:color w:val="2A1F28"/>
          <w:sz w:val="24"/>
          <w:szCs w:val="24"/>
          <w:rtl/>
        </w:rPr>
        <w:t xml:space="preserve">איזה קרבן אינו קרב בבמה קטנה?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עולת נדבה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פסחים</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שלמי נדר</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עולת נדר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פסחים – «אֵין בֵּין בָּמָה גְּדוֹלָה לְבָמָה קְטַנָּה, אֶלָּא פְּסָחִים».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3.5 נקודות לכל סעיף.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(8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חושבים לעומק: הברטנורא כותב שתיקנו לקרוא בט"ו בערים המוקפות חומה מימות יהושע (ולא מימות אחשוורוש)</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מימות יהושע בן נון קורין בט"ו – </w:t>
                  </w:r>
                  <w:r>
                    <w:rPr>
                      <w:rFonts w:ascii="Frank Ruhl TB" w:cs="Frank Ruhl TB" w:eastAsia="Frank Ruhl TB" w:hAnsi="Frank Ruhl TB"/>
                      <w:b w:val="false"/>
                      <w:color w:val="2A1F28"/>
                      <w:sz w:val="25"/>
                      <w:szCs w:val="25"/>
                      <w:rtl/>
                    </w:rPr>
                    <w:t xml:space="preserve">כדי לחלוק כבוד לא"י שהיתה חרבה בימי מרדכי ואסתר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למדו חכמים מכך שבחרו דווקא בימות יהושע? מה זה מלמד אותנו על הקשר בין ארץ ישראל לבין חג הפורים, שקרה בשושן?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בימי מרדכי ואסתר ארץ ישראל הייתה חרבה. חכמים קבעו את הזמן לפי ימות יהושע (שכבש את הארץ), כדי שגם ערי ארץ ישראל ייחשבו כמוקפות כמו שושן, ויהיה זכרון לארץ ישראל בנס. מחוון: הבנת הטעם (4 נק'), קישור אישי/ערכי – גם כשאנחנו בגלות זוכרים את ארץ ישראל (4 נק').</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40"/>
      </w:pPr>
      <w:r>
        <w:rPr>
          <w:rFonts w:ascii="Arial" w:cs="Arial" w:eastAsia="Arial" w:hAnsi="Arial"/>
          <w:color w:val="FDF8F2"/>
          <w:sz w:val="2"/>
          <w:szCs w:val="2"/>
        </w:rPr>
        <w:t xml:space="preserve">QQS1QQ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מבחנים</w:t>
            </w:r>
          </w:p>
          <w:p>
            <w:pPr>
              <w:keepNext/>
              <w:keepLines/>
              <w:bidi/>
              <w:spacing w:after="60" w:before="0" w:line="240" w:lineRule="auto"/>
              <w:jc w:val="both"/>
            </w:pPr>
            <w:r>
              <w:rPr>
                <w:rFonts w:ascii="Suez One" w:cs="Suez One" w:eastAsia="Suez One" w:hAnsi="Suez One"/>
                <w:b w:val="false"/>
                <w:color w:val="5B2245"/>
                <w:sz w:val="51"/>
                <w:szCs w:val="51"/>
                <w:rtl/>
              </w:rPr>
              <w:t xml:space="preserve">מבחן – פרק שני: הקורא למפרע</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קראו את דברי המשנה (פרק ב משנה א) וענו:</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«הַקּוֹרֵא אֶת הַמְּגִלָּה לְמַפְרֵעַ, לֹא יָצָא. קְרָאָהּ עַל פֶּה, קְרָאָהּ תַּרְגּוּם, בְּכָל לָשׁוֹן, לֹא יָצָא»</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פירוש המילה «לְמַפְרֵעַ»? </w:t>
      </w:r>
      <w:r>
        <w:rPr>
          <w:rFonts w:ascii="Rubik Medium MG" w:cs="Rubik Medium MG" w:eastAsia="Rubik Medium MG" w:hAnsi="Rubik Medium MG"/>
          <w:b w:val="false"/>
          <w:color w:val="B3261E"/>
          <w:sz w:val="24"/>
          <w:szCs w:val="24"/>
          <w:u w:val="single" w:color="B3261E"/>
          <w:rtl/>
        </w:rPr>
        <w:t xml:space="preserve"> שלא לפי הסדר – מאוחר לפני מוקדם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שמעון קרא את המגילה בעל פה מצוין, בלי אף טעות. האם יצא ידי חובה? </w:t>
      </w:r>
      <w:r>
        <w:rPr>
          <w:rFonts w:ascii="Rubik Medium MG" w:cs="Rubik Medium MG" w:eastAsia="Rubik Medium MG" w:hAnsi="Rubik Medium MG"/>
          <w:b w:val="false"/>
          <w:color w:val="B3261E"/>
          <w:sz w:val="24"/>
          <w:szCs w:val="24"/>
          <w:u w:val="single" w:color="B3261E"/>
          <w:rtl/>
        </w:rPr>
        <w:t xml:space="preserve"> לא יצא </w:t>
      </w:r>
      <w:r>
        <w:rPr>
          <w:rFonts w:ascii="Rubik MG" w:cs="Rubik MG" w:eastAsia="Rubik MG" w:hAnsi="Rubik MG"/>
          <w:b w:val="false"/>
          <w:color w:val="2A1F28"/>
          <w:sz w:val="24"/>
          <w:szCs w:val="24"/>
          <w:rtl/>
        </w:rPr>
        <w:t xml:space="preserve">, כי </w:t>
      </w:r>
      <w:r>
        <w:rPr>
          <w:rFonts w:ascii="Rubik Medium MG" w:cs="Rubik Medium MG" w:eastAsia="Rubik Medium MG" w:hAnsi="Rubik Medium MG"/>
          <w:b w:val="false"/>
          <w:color w:val="B3261E"/>
          <w:sz w:val="24"/>
          <w:szCs w:val="24"/>
          <w:u w:val="single" w:color="B3261E"/>
          <w:rtl/>
        </w:rPr>
        <w:t xml:space="preserve"> צריך לקרוא מתוך מגילה כתובה </w:t>
      </w:r>
      <w:r>
        <w:rPr>
          <w:rFonts w:ascii="Rubik MG" w:cs="Rubik MG" w:eastAsia="Rubik MG" w:hAnsi="Rubik MG"/>
          <w:b w:val="false"/>
          <w:color w:val="2A1F28"/>
          <w:sz w:val="24"/>
          <w:szCs w:val="24"/>
          <w:rtl/>
        </w:rPr>
        <w:t xml:space="preserve">.</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כתבו שלושה אופנים שבהם לפי המשנה «לֹא יָצָא»: </w:t>
      </w:r>
      <w:r>
        <w:rPr>
          <w:rFonts w:ascii="Rubik Medium MG" w:cs="Rubik Medium MG" w:eastAsia="Rubik Medium MG" w:hAnsi="Rubik Medium MG"/>
          <w:b w:val="false"/>
          <w:color w:val="B3261E"/>
          <w:sz w:val="24"/>
          <w:szCs w:val="24"/>
          <w:u w:val="single" w:color="B3261E"/>
          <w:rtl/>
        </w:rPr>
        <w:t xml:space="preserve"> למפרע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על פה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תרגום / בכל לשון (שאינו מבין)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תרשים כאמד"ט: השלימו את התרשים לפי משנה 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1"/>
              <w:gridCol w:w="901"/>
              <w:gridCol w:w="2702"/>
              <w:gridCol w:w="1801"/>
              <w:gridCol w:w="2701"/>
            </w:tblGrid>
            <w:tr>
              <w:trPr>
                <w:cantSplit/>
                <w:tblHeader/>
              </w:trPr>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9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7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7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 / הסבר</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אופן קריאת המגילה וכתיבתה </w:t>
                  </w:r>
                </w:p>
              </w:tc>
              <w:tc>
                <w:tcPr>
                  <w:tcW w:type="dxa" w:w="9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7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קראה סירוגין (בהפסקות)</w:t>
                  </w:r>
                </w:p>
              </w:tc>
              <w:tc>
                <w:tcPr>
                  <w:tcW w:type="dxa" w:w="18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יצא </w:t>
                  </w:r>
                </w:p>
              </w:tc>
              <w:tc>
                <w:tcPr>
                  <w:tcW w:type="dxa" w:w="27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אפילו הפסיק זמן רב – העיקר שקרא את כולה </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7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היה כותבה, דורשה ומגיהה </w:t>
                  </w:r>
                </w:p>
              </w:tc>
              <w:tc>
                <w:tcPr>
                  <w:tcW w:type="dxa" w:w="18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אם כיוון לבו – יצא; ואם לאו – לא יצא </w:t>
                  </w:r>
                </w:p>
              </w:tc>
              <w:tc>
                <w:tcPr>
                  <w:tcW w:type="dxa" w:w="27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צריך כוונה לצאת ידי חובה בקריאה זו </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7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כתובה בסם או בסיקרא, על הנייר או על הדפתרא</w:t>
                  </w:r>
                </w:p>
              </w:tc>
              <w:tc>
                <w:tcPr>
                  <w:tcW w:type="dxa" w:w="18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יצא </w:t>
                  </w:r>
                </w:p>
              </w:tc>
              <w:tc>
                <w:tcPr>
                  <w:tcW w:type="dxa" w:w="27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צריך שתהא כתובה אשורית, על הספר (קלף) ובדיו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ניקוד: 1 נקודה לכל משבצת, ו־2 נקודות לכל «טעם» נכון.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מחלוקת במשנה: «וּמֵהֵיכָן קוֹרֵא אָדָם אֶת הַמְּגִלָּה וְיוֹצֵא בָהּ יְדֵי חוֹבָתוֹ?» (פרק ב משנה ג). השלימו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 (מאיפה קוראים)</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במה זה מתחיל במגילה? (במילים שלכם)</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מאיר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כֻּלָּהּ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מתחילת המגילה – «ויהי בימי אחשורוש»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מֵאִישׁ יְהוּדִי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מהופעת מרדכי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יוסי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מֵאַחַר הַדְּבָרִים הָאֵלֶּה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מגדולת המן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מהו נושא המחלוקת? </w:t>
      </w:r>
      <w:r>
        <w:rPr>
          <w:rFonts w:ascii="Rubik Medium MG" w:cs="Rubik Medium MG" w:eastAsia="Rubik Medium MG" w:hAnsi="Rubik Medium MG"/>
          <w:b w:val="false"/>
          <w:color w:val="B3261E"/>
          <w:sz w:val="24"/>
          <w:szCs w:val="24"/>
          <w:u w:val="single" w:color="B3261E"/>
          <w:rtl/>
        </w:rPr>
        <w:t xml:space="preserve"> מאיזה מקום במגילה צריך לקרוא כדי לצאת ידי חובה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כמי ההלכה, לפי הברטנורא? </w:t>
      </w:r>
      <w:r>
        <w:rPr>
          <w:rFonts w:ascii="Rubik Medium MG" w:cs="Rubik Medium MG" w:eastAsia="Rubik Medium MG" w:hAnsi="Rubik Medium MG"/>
          <w:b w:val="false"/>
          <w:color w:val="B3261E"/>
          <w:sz w:val="24"/>
          <w:szCs w:val="24"/>
          <w:u w:val="single" w:color="B3261E"/>
          <w:rtl/>
        </w:rPr>
        <w:t xml:space="preserve"> כרבי מאיר – קוראים את כולה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עיון בברטנורא: לכאורה יש סתירה במשנה א: «בְּכָל לָשׁוֹן, לֹא יָצָא», ומיד אחר כך: «אֲבָל קוֹרִין אוֹתָהּ לַלּוֹעֲזוֹת בְּלַעַז». קראו מה מבאר הברטנורא:</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קראה תרגום בכל לשון לא יצא – </w:t>
                  </w:r>
                  <w:r>
                    <w:rPr>
                      <w:rFonts w:ascii="Frank Ruhl TB" w:cs="Frank Ruhl TB" w:eastAsia="Frank Ruhl TB" w:hAnsi="Frank Ruhl TB"/>
                      <w:b w:val="false"/>
                      <w:color w:val="2A1F28"/>
                      <w:sz w:val="25"/>
                      <w:szCs w:val="25"/>
                      <w:rtl/>
                    </w:rPr>
                    <w:t xml:space="preserve">הכי קאמר, עברי שקראה תרגום ואינו מבין בל' תרגום, או בכל שאר לשון שאינו מבין, לא יצא: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קורין אותה ללועזות בלעז – </w:t>
                  </w:r>
                  <w:r>
                    <w:rPr>
                      <w:rFonts w:ascii="Frank Ruhl TB" w:cs="Frank Ruhl TB" w:eastAsia="Frank Ruhl TB" w:hAnsi="Frank Ruhl TB"/>
                      <w:b w:val="false"/>
                      <w:color w:val="2A1F28"/>
                      <w:sz w:val="25"/>
                      <w:szCs w:val="25"/>
                      <w:rtl/>
                    </w:rPr>
                    <w:t xml:space="preserve">באותו לשון שהם מבינים. ובלבד שתהא כתובה באותו לשון, שלא יהא קורא על פה: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איזה קושי פותר הברטנורא? הסבירו איך הוא מיישב את הסתירה.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«בכל לשון לא יצא» – מדובר במי שקורא בלשון שאינו מבין (כמו עברי שקרא תרגום). הלועזות – קוראים להם בלשון שהם מבינים, ולכן יוצאים. ההבדל: האם השומע מבין את הלשון.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איזה תנאי נוסף מוסיף הברטנורא לקריאה ללועזות? </w:t>
      </w:r>
      <w:r>
        <w:rPr>
          <w:rFonts w:ascii="Rubik Medium MG" w:cs="Rubik Medium MG" w:eastAsia="Rubik Medium MG" w:hAnsi="Rubik Medium MG"/>
          <w:b w:val="false"/>
          <w:color w:val="B3261E"/>
          <w:sz w:val="24"/>
          <w:szCs w:val="24"/>
          <w:u w:val="single" w:color="B3261E"/>
          <w:rtl/>
        </w:rPr>
        <w:t xml:space="preserve"> שהמגילה תהיה כתובה באותה לשון, כדי שלא יקרא על פה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הדין?» – לפי משנה ג: «בֶּן עִיר שֶׁהָלַךְ לִכְרַךְ וּבֶן כְּרַךְ שֶׁהָלַךְ לְעִיר, אִם עָתִיד לַחֲזוֹר לִמְקוֹמוֹ, קוֹרֵא כִּמְקוֹמוֹ». השלימו: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91"/>
              <w:gridCol w:w="3715"/>
            </w:tblGrid>
            <w:tr>
              <w:trPr>
                <w:cantSplit/>
                <w:tblHeader/>
              </w:trPr>
              <w:tc>
                <w:tcPr>
                  <w:tcW w:type="dxa" w:w="61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המקרה</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הדין? באיזה יום יקרא?</w:t>
                  </w:r>
                </w:p>
              </w:tc>
            </w:tr>
            <w:tr>
              <w:trPr>
                <w:cantSplit/>
                <w:tblHeader w:val="false"/>
                <w:trHeight w:val="500" w:hRule="atLeast"/>
              </w:trPr>
              <w:tc>
                <w:tcPr>
                  <w:tcW w:type="dxa" w:w="619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דוד גר בעיר (קוראים בי"ד). בפורים נסע לכרך מוקף חומה, ובדעתו לחזור הביתה.</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קורא כמקומו – בי"ד </w:t>
                  </w:r>
                </w:p>
              </w:tc>
            </w:tr>
            <w:tr>
              <w:trPr>
                <w:cantSplit/>
                <w:tblHeader w:val="false"/>
                <w:trHeight w:val="500" w:hRule="atLeast"/>
              </w:trPr>
              <w:tc>
                <w:tcPr>
                  <w:tcW w:type="dxa" w:w="619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יוסף גר בכרך מוקף חומה. הוא עבר לגור בעיר, ואינו עתיד לחזור.</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קורא עמהם – בי"ד </w:t>
                  </w:r>
                </w:p>
              </w:tc>
            </w:tr>
            <w:tr>
              <w:trPr>
                <w:cantSplit/>
                <w:tblHeader w:val="false"/>
                <w:trHeight w:val="500" w:hRule="atLeast"/>
              </w:trPr>
              <w:tc>
                <w:tcPr>
                  <w:tcW w:type="dxa" w:w="619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משה גר בכרך מוקף חומה. בפורים ביקר בעיר, ובדעתו לחזור לכרך.</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קורא כמקומו – בט"ו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ד) </w:t>
      </w:r>
      <w:r>
        <w:rPr>
          <w:rFonts w:ascii="Rubik MG" w:cs="Rubik MG" w:eastAsia="Rubik MG" w:hAnsi="Rubik MG"/>
          <w:b w:val="false"/>
          <w:color w:val="2A1F28"/>
          <w:sz w:val="24"/>
          <w:szCs w:val="24"/>
          <w:rtl/>
        </w:rPr>
        <w:t xml:space="preserve">מהי המילה החשובה במשנה שקובעת את הדין? </w:t>
      </w:r>
      <w:r>
        <w:rPr>
          <w:rFonts w:ascii="Rubik Medium MG" w:cs="Rubik Medium MG" w:eastAsia="Rubik Medium MG" w:hAnsi="Rubik Medium MG"/>
          <w:b w:val="false"/>
          <w:color w:val="B3261E"/>
          <w:sz w:val="24"/>
          <w:szCs w:val="24"/>
          <w:u w:val="single" w:color="B3261E"/>
          <w:rtl/>
        </w:rPr>
        <w:t xml:space="preserve"> «עָתִיד לַחֲזוֹר לִמְקוֹמוֹ»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ניקוד: 3 נקודות לכל סעיף.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לפי חכמים (סתם משנה), קטן כשר לקרוא את המגילה לרבים.</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קטן פסול; רק רבי יהודה מכשיר בקטן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קוראים את המגילה ביום עד שתנץ החמה, ומי שקרא משעלה עמוד השחר – כשר.</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מילה, טבילה והזאה מותר לעשות גם בלילה.</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עושים אותם עד שתנץ החמה – הם מצוות של יום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חרש ושוטה אינם כשרים לקרוא את המגילה.</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2.5 נקודות לכל שורה.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«כל היום כשר, כל הלילה כשר» (משניות ה–ו): מיינו את המצוות שבמחסן המילים לשתי העמודות.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24"/>
                      <w:szCs w:val="24"/>
                      <w:rtl/>
                    </w:rPr>
                    <w:t xml:space="preserve">קריאת המגילה   ·   קצירת העומר   ·   תקיעת שופר   ·   הקטר חלבים ואברים   ·   נטילת לולב   ·   קריאת ההלל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כשר כל היום</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כשר כל הלילה</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קריאת המגילה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קצירת העומר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תקיעת שופר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הקטר חלבים ואברים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נטילת לולב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קריאת ההלל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השלימו את הכלל שבסוף משנה ו: «דָּבָר שֶׁמִּצְוָתוֹ בַיּוֹם, </w:t>
      </w:r>
      <w:r>
        <w:rPr>
          <w:rFonts w:ascii="Rubik Medium MG" w:cs="Rubik Medium MG" w:eastAsia="Rubik Medium MG" w:hAnsi="Rubik Medium MG"/>
          <w:b w:val="false"/>
          <w:color w:val="B3261E"/>
          <w:sz w:val="24"/>
          <w:szCs w:val="24"/>
          <w:u w:val="single" w:color="B3261E"/>
          <w:rtl/>
        </w:rPr>
        <w:t xml:space="preserve"> כָּשֵׁר כָּל הַיּוֹם </w:t>
      </w:r>
      <w:r>
        <w:rPr>
          <w:rFonts w:ascii="Rubik MG" w:cs="Rubik MG" w:eastAsia="Rubik MG" w:hAnsi="Rubik MG"/>
          <w:b w:val="false"/>
          <w:color w:val="2A1F28"/>
          <w:sz w:val="24"/>
          <w:szCs w:val="24"/>
          <w:rtl/>
        </w:rPr>
        <w:t xml:space="preserve">. דָּבָר שֶׁמִּצְוָתוֹ בַּלַּיְלָה, </w:t>
      </w:r>
      <w:r>
        <w:rPr>
          <w:rFonts w:ascii="Rubik Medium MG" w:cs="Rubik Medium MG" w:eastAsia="Rubik Medium MG" w:hAnsi="Rubik Medium MG"/>
          <w:b w:val="false"/>
          <w:color w:val="B3261E"/>
          <w:sz w:val="24"/>
          <w:szCs w:val="24"/>
          <w:u w:val="single" w:color="B3261E"/>
          <w:rtl/>
        </w:rPr>
        <w:t xml:space="preserve"> כָּשֵׁר כָּל הַלַּיְלָה </w:t>
      </w:r>
      <w:r>
        <w:rPr>
          <w:rFonts w:ascii="Rubik MG" w:cs="Rubik MG" w:eastAsia="Rubik MG" w:hAnsi="Rubik MG"/>
          <w:b w:val="false"/>
          <w:color w:val="2A1F28"/>
          <w:sz w:val="24"/>
          <w:szCs w:val="24"/>
          <w:rtl/>
        </w:rPr>
        <w:t xml:space="preserve">».</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(8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מגילה שנכתבה על נייר – מה דינה?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כשרה, אם הכתב אשורית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לא יצא – צריך לכתוב על הספר (קלף)</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כשרה רק ללועזות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כשרה בשעת הדחק</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יצא – צריך לכתוב על הספר (קלף), אשורית ובדיו.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Lines/>
        <w:bidi/>
        <w:spacing w:after="90" w:before="40" w:line="300"/>
        <w:ind w:start="420"/>
        <w:jc w:val="both"/>
      </w:pPr>
      <w:r>
        <w:rPr>
          <w:rFonts w:ascii="Rubik MG" w:cs="Rubik MG" w:eastAsia="Rubik MG" w:hAnsi="Rubik MG"/>
          <w:b w:val="false"/>
          <w:color w:val="2A1F28"/>
          <w:sz w:val="24"/>
          <w:szCs w:val="24"/>
          <w:rtl/>
        </w:rPr>
        <w:t xml:space="preserve">ראובן נרדם קצת («מתנמנם») בזמן שקרא את המגילה. מה הדין לפי המשנה?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לא יצא</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יצא</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יחזור לתחילת המגילה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יצא רק אם קרא ביום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יצא – «קְרָאָהּ סֵרוּגִין, וּמִתְנַמְנֵם, יָצָא».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4 נקודות לכל סעיף.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המשנה בחיינו: המשנה אומרת על מי שהיה כותב או מגיה את המגילה בזמן הקריאה: «אִם כִּוֵּן לִבּוֹ, יָצָא. וְאִם לָאו, לֹא יָצָא». מה המשנה מלמדת אותנו על החשיבות של כוונה במצוות? תנו דוגמה ממצווה שאתם עושים (תפילה, ברכה, קריאת שמע ועוד).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מצווה אינה רק מעשה – צריך לדעת שעושים מצווה ולהתכוון לצאת ידי חובה. דוגמה: לומר ברכה בכוונה ולא «מתוך הרגל»; לשמוע קריאת מגילה ולהתכוון לצאת. מחוון: הבנת העיקרון (4 נק'), דוגמה מתאימה (3 נק'), הסבר הדוגמה (3 נק').</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40"/>
      </w:pPr>
      <w:r>
        <w:rPr>
          <w:rFonts w:ascii="Arial" w:cs="Arial" w:eastAsia="Arial" w:hAnsi="Arial"/>
          <w:color w:val="FDF8F2"/>
          <w:sz w:val="2"/>
          <w:szCs w:val="2"/>
        </w:rPr>
        <w:t xml:space="preserve">QQS2QQ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מבחנים</w:t>
            </w:r>
          </w:p>
          <w:p>
            <w:pPr>
              <w:keepNext/>
              <w:keepLines/>
              <w:bidi/>
              <w:spacing w:after="60" w:before="0" w:line="240" w:lineRule="auto"/>
              <w:jc w:val="both"/>
            </w:pPr>
            <w:r>
              <w:rPr>
                <w:rFonts w:ascii="Suez One" w:cs="Suez One" w:eastAsia="Suez One" w:hAnsi="Suez One"/>
                <w:b w:val="false"/>
                <w:color w:val="5B2245"/>
                <w:sz w:val="51"/>
                <w:szCs w:val="51"/>
                <w:rtl/>
              </w:rPr>
              <w:t xml:space="preserve">מבחן – פרק שלישי: בני העיר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קראו את תחילת פרק ג משנה א וענו:</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«בְּנֵי הָעִיר שֶׁמָכְרוּ רְחוֹבָה שֶׁל עִיר, לוֹקְחִין בְּדָמָיו בֵּית הַכְּנֶסֶת. בֵּית הַכְּנֶסֶת, לוֹקְחִין תֵּבָה. תֵּבָה, לוֹקְחִין מִטְפָּחוֹת...»</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«סולם הקדושה»: סדרו את הדברים מהקדושה הפחותה (1) עד הקדושה הגדולה ביותר (6).</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1651"/>
              <w:gridCol w:w="1651"/>
              <w:gridCol w:w="1651"/>
              <w:gridCol w:w="1651"/>
              <w:gridCol w:w="1651"/>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1</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2</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3</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4</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5</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6</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רחובה של עיר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בית הכנסת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תבה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מטפחות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ספרים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תורה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בני העיר מכרו את התבה. מה מותר להם לקנות בכסף? </w:t>
      </w:r>
      <w:r>
        <w:rPr>
          <w:rFonts w:ascii="Rubik Medium MG" w:cs="Rubik Medium MG" w:eastAsia="Rubik Medium MG" w:hAnsi="Rubik Medium MG"/>
          <w:b w:val="false"/>
          <w:color w:val="B3261E"/>
          <w:sz w:val="24"/>
          <w:szCs w:val="24"/>
          <w:u w:val="single" w:color="B3261E"/>
          <w:rtl/>
        </w:rPr>
        <w:t xml:space="preserve"> מטפחות, ספרים או תורה – רק דבר קדוש יותר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ניקוד: 6 נקודות לסידור (נקודה לכל מקום), 6 נקודות לסעיף ב.</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עיון בברטנורא:</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אם מכרו תורה לא יקחו ספרים – </w:t>
                  </w:r>
                  <w:r>
                    <w:rPr>
                      <w:rFonts w:ascii="Frank Ruhl TB" w:cs="Frank Ruhl TB" w:eastAsia="Frank Ruhl TB" w:hAnsi="Frank Ruhl TB"/>
                      <w:b w:val="false"/>
                      <w:color w:val="2A1F28"/>
                      <w:sz w:val="25"/>
                      <w:szCs w:val="25"/>
                      <w:rtl/>
                    </w:rPr>
                    <w:t xml:space="preserve">דמעלין בקודש ואין מורידין:</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ספרים – </w:t>
                  </w:r>
                  <w:r>
                    <w:rPr>
                      <w:rFonts w:ascii="Frank Ruhl TB" w:cs="Frank Ruhl TB" w:eastAsia="Frank Ruhl TB" w:hAnsi="Frank Ruhl TB"/>
                      <w:b w:val="false"/>
                      <w:color w:val="2A1F28"/>
                      <w:sz w:val="25"/>
                      <w:szCs w:val="25"/>
                      <w:rtl/>
                    </w:rPr>
                    <w:t xml:space="preserve">נביאים וכתובים: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מבאר הברטנורא במילה «סְפָרִים»? </w:t>
      </w:r>
      <w:r>
        <w:rPr>
          <w:rFonts w:ascii="Rubik Medium MG" w:cs="Rubik Medium MG" w:eastAsia="Rubik Medium MG" w:hAnsi="Rubik Medium MG"/>
          <w:b w:val="false"/>
          <w:color w:val="B3261E"/>
          <w:sz w:val="24"/>
          <w:szCs w:val="24"/>
          <w:u w:val="single" w:color="B3261E"/>
          <w:rtl/>
        </w:rPr>
        <w:t xml:space="preserve"> ספרי נביאים וכתובים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הסבירו במילים שלכם את הכלל «מעלין בקודש ואין מורידין», והראו איך הוא מסביר את הסיפא של המשנה («אֲבָל אִם מָכְרוּ תּוֹרָה, לֹא יִקְחוּ סְפָרִים»).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מדבר קדוש אפשר לעלות לדבר קדוש יותר, אבל אסור לרדת לדבר שקדושתו פחותה. לכן בכסף של ספר תורה אסור לקנות ספרי נביאים וכתובים, שקדושתם פחותה.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«וְכֵן בְּמוֹתְרֵיהֶן» – מכרו ספרים וקנו תורה, ונשאר כסף. מה מותר לקנות בכסף שנשאר? </w:t>
      </w:r>
      <w:r>
        <w:rPr>
          <w:rFonts w:ascii="Rubik Medium MG" w:cs="Rubik Medium MG" w:eastAsia="Rubik Medium MG" w:hAnsi="Rubik Medium MG"/>
          <w:b w:val="false"/>
          <w:color w:val="B3261E"/>
          <w:sz w:val="24"/>
          <w:szCs w:val="24"/>
          <w:u w:val="single" w:color="B3261E"/>
          <w:rtl/>
        </w:rPr>
        <w:t xml:space="preserve"> רק דבר שקדושתו כמו תורה – לא דבר שקדושתו פחותה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מחלוקת במשנה: מכירת בית הכנסת (פרק ג משנה ב). השלימו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4403"/>
              <w:gridCol w:w="3302"/>
            </w:tblGrid>
            <w:tr>
              <w:trPr>
                <w:cantSplit/>
                <w:tblHeader/>
              </w:trPr>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 / הלכה</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מאיר </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מוכרין בית הכנסת אלא על תנאי שאם ירצו יחזירוהו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מכירה גמורה היא דרך בזיון; אין הלכה כמותו </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חכמים </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מוכרים אותו ממכר עולם, חוץ מארבעה דברים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ההלכה כחכמים </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מוכרין אותו לשם חצר, והלוקח מה שירצה יעשה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הלכה כרבי יהודה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כתבו את ארבעת הדברים שלפי חכמים אסור למכור בית כנסת כדי לעשות בו אותם: </w:t>
      </w:r>
      <w:r>
        <w:rPr>
          <w:rFonts w:ascii="Rubik Medium MG" w:cs="Rubik Medium MG" w:eastAsia="Rubik Medium MG" w:hAnsi="Rubik Medium MG"/>
          <w:b w:val="false"/>
          <w:color w:val="B3261E"/>
          <w:sz w:val="24"/>
          <w:szCs w:val="24"/>
          <w:u w:val="single" w:color="B3261E"/>
          <w:rtl/>
        </w:rPr>
        <w:t xml:space="preserve"> מרחץ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בורסקי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טבילה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בית המים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מהי נקודת המחלוקת בין רבי מאיר לחכמים?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האם מותר למכור בית כנסת מכירה גמורה (ממכר עולם) – לחכמים מותר, לרבי מאיר רק על תנאי שאפשר להחזירו.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תרשים כאמד"ט: השלימו את התרשים לפי משנה 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991"/>
              <w:gridCol w:w="2972"/>
              <w:gridCol w:w="991"/>
              <w:gridCol w:w="2971"/>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97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כבוד בית כנסת שחרב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מספידין בתוכו / מפשילין בתוכו חבלים / עושין אותו קפנדריא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אסור </w:t>
                  </w:r>
                </w:p>
              </w:tc>
              <w:tc>
                <w:tcPr>
                  <w:tcW w:type="dxa" w:w="297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«והשמותי את מקדשיכם» – קדושתן אף כשהן שוממין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עלו בו עשבים </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יתלוש </w:t>
                  </w:r>
                </w:p>
              </w:tc>
              <w:tc>
                <w:tcPr>
                  <w:tcW w:type="dxa" w:w="297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מפני עגמת נפש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פירוש «קַפַּנְדַּרְיָא»? </w:t>
      </w:r>
      <w:r>
        <w:rPr>
          <w:rFonts w:ascii="Rubik Medium MG" w:cs="Rubik Medium MG" w:eastAsia="Rubik Medium MG" w:hAnsi="Rubik Medium MG"/>
          <w:b w:val="false"/>
          <w:color w:val="B3261E"/>
          <w:sz w:val="24"/>
          <w:szCs w:val="24"/>
          <w:u w:val="single" w:color="B3261E"/>
          <w:rtl/>
        </w:rPr>
        <w:t xml:space="preserve"> לעבור דרך בית הכנסת כדי לקצר את הדרך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ארבע פרשיות (משנה ד): השלימו את הטבלה. בעמודה האחרונה כתבו את הטעם לפי 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2830"/>
              <w:gridCol w:w="5661"/>
            </w:tblGrid>
            <w:tr>
              <w:trPr>
                <w:cantSplit/>
                <w:tblHeader/>
              </w:trPr>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שבת</w:t>
                  </w:r>
                </w:p>
              </w:tc>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הפרשה</w:t>
                  </w:r>
                </w:p>
              </w:tc>
              <w:tc>
                <w:tcPr>
                  <w:tcW w:type="dxa" w:w="566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למה קוראים אותה? (לפי הברטנורא)</w:t>
                  </w:r>
                </w:p>
              </w:tc>
            </w:tr>
            <w:tr>
              <w:trPr>
                <w:cantSplit/>
                <w:tblHeader w:val="false"/>
                <w:trHeight w:val="500" w:hRule="atLeast"/>
              </w:trPr>
              <w:tc>
                <w:tcPr>
                  <w:tcW w:type="dxa" w:w="14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ראשונה</w:t>
                  </w:r>
                </w:p>
              </w:tc>
              <w:tc>
                <w:tcPr>
                  <w:tcW w:type="dxa" w:w="2830"/>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שקלים </w:t>
                  </w:r>
                </w:p>
              </w:tc>
              <w:tc>
                <w:tcPr>
                  <w:tcW w:type="dxa" w:w="566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להודיע שיביאו שקליהם באדר, כדי שיקריבו בא' בניסן מתרומה חדשה </w:t>
                  </w:r>
                </w:p>
              </w:tc>
            </w:tr>
            <w:tr>
              <w:trPr>
                <w:cantSplit/>
                <w:tblHeader w:val="false"/>
                <w:trHeight w:val="500" w:hRule="atLeast"/>
              </w:trPr>
              <w:tc>
                <w:tcPr>
                  <w:tcW w:type="dxa" w:w="14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שנייה</w:t>
                  </w:r>
                </w:p>
              </w:tc>
              <w:tc>
                <w:tcPr>
                  <w:tcW w:type="dxa" w:w="2830"/>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זכור </w:t>
                  </w:r>
                </w:p>
              </w:tc>
              <w:tc>
                <w:tcPr>
                  <w:tcW w:type="dxa" w:w="566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לסמוך מחיית עמלק למחיית המן – שבת הסמוכה לפורים </w:t>
                  </w:r>
                </w:p>
              </w:tc>
            </w:tr>
            <w:tr>
              <w:trPr>
                <w:cantSplit/>
                <w:tblHeader w:val="false"/>
                <w:trHeight w:val="500" w:hRule="atLeast"/>
              </w:trPr>
              <w:tc>
                <w:tcPr>
                  <w:tcW w:type="dxa" w:w="14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שלישית</w:t>
                  </w:r>
                </w:p>
              </w:tc>
              <w:tc>
                <w:tcPr>
                  <w:tcW w:type="dxa" w:w="2830"/>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פרה אדומה </w:t>
                  </w:r>
                </w:p>
              </w:tc>
              <w:tc>
                <w:tcPr>
                  <w:tcW w:type="dxa" w:w="566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להזהיר את ישראל לטהר עצמם כדי שיעשו פסחיהם בטהרה </w:t>
                  </w:r>
                </w:p>
              </w:tc>
            </w:tr>
            <w:tr>
              <w:trPr>
                <w:cantSplit/>
                <w:tblHeader w:val="false"/>
                <w:trHeight w:val="500" w:hRule="atLeast"/>
              </w:trPr>
              <w:tc>
                <w:tcPr>
                  <w:tcW w:type="dxa" w:w="14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רביעית</w:t>
                  </w:r>
                </w:p>
              </w:tc>
              <w:tc>
                <w:tcPr>
                  <w:tcW w:type="dxa" w:w="2830"/>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החודש הזה לכם </w:t>
                  </w:r>
                </w:p>
              </w:tc>
              <w:tc>
                <w:tcPr>
                  <w:tcW w:type="dxa" w:w="566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ששם פרשת הפסח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ראש חודש אדר חל ביום שלישי. באיזו שבת יקראו פרשת שקלים? </w:t>
      </w:r>
      <w:r>
        <w:rPr>
          <w:rFonts w:ascii="Rubik Medium MG" w:cs="Rubik Medium MG" w:eastAsia="Rubik Medium MG" w:hAnsi="Rubik Medium MG"/>
          <w:b w:val="false"/>
          <w:color w:val="B3261E"/>
          <w:sz w:val="24"/>
          <w:szCs w:val="24"/>
          <w:u w:val="single" w:color="B3261E"/>
          <w:rtl/>
        </w:rPr>
        <w:t xml:space="preserve"> בשבת שלפני ראש החודש – «מקדימין לשעבר»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2 נקודות לכל שורה בטבלה (פרשה + טעם), 6 נקודות לסעיף 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זוגות מתאימים (משניות ה–ו): מתחו קו בין המועד לבין הפרשה שקוראים בו.</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המועד</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הפרשה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פורים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שבעה שבועות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חנוכה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אחרי מות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עצרת (שבועות)</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ויבא עמלק</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יום הכיפורים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ברכות וקללות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תעניות</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בנשיאים</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פורים – ויבא עמלק · חנוכה – בנשיאים · עצרת – שבעה שבועות · יום הכיפורים – אחרי מות · תעניות – ברכות וקללות.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2 נקודות לכל זוג.</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(8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מה פירוש «וְאֵין עוֹלִין לָהֶם מִן הָחֶשְׁבּוֹן» (בקריאה בשני, בחמישי ובשבת במנחה)?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בשבת הבאה חוזרים וקוראים את אותו קטע</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לא קוראים בהם בתורה כלל</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הקורא אינו מברך</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קוראים רק שלושה פסוקים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בשבת הבאה חוזרים וקוראים את אותו קטע (הברטנורא: «יחזרו ויקראו מה שקראו בשני ובחמישי ובשבת במנחה»).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Lines/>
        <w:bidi/>
        <w:spacing w:after="90" w:before="40" w:line="300"/>
        <w:ind w:start="420"/>
        <w:jc w:val="both"/>
      </w:pPr>
      <w:r>
        <w:rPr>
          <w:rFonts w:ascii="Rubik MG" w:cs="Rubik MG" w:eastAsia="Rubik MG" w:hAnsi="Rubik MG"/>
          <w:b w:val="false"/>
          <w:color w:val="2A1F28"/>
          <w:sz w:val="24"/>
          <w:szCs w:val="24"/>
          <w:rtl/>
        </w:rPr>
        <w:t xml:space="preserve">מה לומדים מהפסוק «וַיְדַבֵּר מֹשֶׁה אֶת מֹעֲדֵי ה' אֶל בְּנֵי יִשְׂרָאֵל»?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שיש לקרוא רק בשבת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שקוראים בכל מועד מעניין המועד</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שאין מפסיקין בקללות</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שקוראים שלושה בשני ובחמישי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שקוראים בכל מועד מעניין המועד – «מִצְוָתָן שֶׁיְהוּ קוֹרִין כָּל אֶחָד וְאֶחָד בִּזְמַנּוֹ».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4 נקודות לכל סעיף.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(8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בחמישית (אחרי ארבע הפרשיות) חוזרים לסדר הרגיל.</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בקריאת הקללות מפסיקים בין העולים, וכל אחד קורא קטע.</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מפסיקין בקללות – אחד קורא את כולן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בראש השנה קוראים «בחודש השביעי באחד לחודש».</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בכל ימי חג הסוכות קוראים רק את פרשת המועדות.</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ביום טוב הראשון – פרשת המועדות; בשאר ימי החג – בקרבנות החג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2 נקודות לכל שורה.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חושבים לעומק: על בית כנסת שחרב ועלו בו עשבים אומרת המשנה: «עָלוּ בּוֹ עֲשָׂבִים, לֹא יִתְלוֹשׁ, מִפְּנֵי עָגְמַת נֶפֶשׁ». קראו את הברטנורא:</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מפני עגמת נפש – </w:t>
                  </w:r>
                  <w:r>
                    <w:rPr>
                      <w:rFonts w:ascii="Frank Ruhl TB" w:cs="Frank Ruhl TB" w:eastAsia="Frank Ruhl TB" w:hAnsi="Frank Ruhl TB"/>
                      <w:b w:val="false"/>
                      <w:color w:val="2A1F28"/>
                      <w:sz w:val="25"/>
                      <w:szCs w:val="25"/>
                      <w:rtl/>
                    </w:rPr>
                    <w:t xml:space="preserve">שיזכרו ימי בנינו ויתנו לב לבנותו אם יוכלו, או יבקשו עליו רחמים שיחזור.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למה דווקא העשבים שעלו בבית הכנסת החרב הם טובים, לפי הברטנורא? מה הם גורמים לאנשים לעשות? ומה אתם יכולים ללמוד מכך על היחס שלנו לבית הכנסת שלנו היום?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העשבים מעוררים צער (עגמת נפש). מתוך הצער האנשים נזכרים בימים שבית הכנסת היה בנוי, ומשתדלים לבנות אותו מחדש או מתפללים שייבנה. מחוון: הסבר הברטנורא (5 נק'); קישור לחיים – לשמור על בית הכנסת, להתנהג בו בכבוד, לדאוג לו (5 נק').</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40"/>
      </w:pPr>
      <w:r>
        <w:rPr>
          <w:rFonts w:ascii="Arial" w:cs="Arial" w:eastAsia="Arial" w:hAnsi="Arial"/>
          <w:color w:val="FDF8F2"/>
          <w:sz w:val="2"/>
          <w:szCs w:val="2"/>
        </w:rPr>
        <w:t xml:space="preserve">QQS3QQ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מבחנים</w:t>
            </w:r>
          </w:p>
          <w:p>
            <w:pPr>
              <w:keepNext/>
              <w:keepLines/>
              <w:bidi/>
              <w:spacing w:after="60" w:before="0" w:line="240" w:lineRule="auto"/>
              <w:jc w:val="both"/>
            </w:pPr>
            <w:r>
              <w:rPr>
                <w:rFonts w:ascii="Suez One" w:cs="Suez One" w:eastAsia="Suez One" w:hAnsi="Suez One"/>
                <w:b w:val="false"/>
                <w:color w:val="5B2245"/>
                <w:sz w:val="51"/>
                <w:szCs w:val="51"/>
                <w:rtl/>
              </w:rPr>
              <w:t xml:space="preserve">מבחן – פרק רביעי: הקורא עומד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קראו את דברי המשנה (פרק ד משנה א) ואת הברטנורא, וענו:</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«הַקּוֹרֵא אֶת הַמְּגִלָּה – עוֹמֵד וְיוֹשֵׁב. קְרָאָהּ אֶחָד, קְרָאוּהָ שְׁנַיִם, יָצְאוּ»</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קראוה שנים – </w:t>
                  </w:r>
                  <w:r>
                    <w:rPr>
                      <w:rFonts w:ascii="Frank Ruhl TB" w:cs="Frank Ruhl TB" w:eastAsia="Frank Ruhl TB" w:hAnsi="Frank Ruhl TB"/>
                      <w:b w:val="false"/>
                      <w:color w:val="2A1F28"/>
                      <w:sz w:val="25"/>
                      <w:szCs w:val="25"/>
                      <w:rtl/>
                    </w:rPr>
                    <w:t xml:space="preserve">ביחד יצאו. ולא אמרינן שני קולות אין נשמעין כאחד, דכיון דחביבא להו יהבי דעתייהו: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האם הקורא את המגילה צריך לעמוד? </w:t>
      </w:r>
      <w:r>
        <w:rPr>
          <w:rFonts w:ascii="Rubik Medium MG" w:cs="Rubik Medium MG" w:eastAsia="Rubik Medium MG" w:hAnsi="Rubik Medium MG"/>
          <w:b w:val="false"/>
          <w:color w:val="B3261E"/>
          <w:sz w:val="24"/>
          <w:szCs w:val="24"/>
          <w:u w:val="single" w:color="B3261E"/>
          <w:rtl/>
        </w:rPr>
        <w:t xml:space="preserve"> לא – רצה עומד, רצה יושב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בדרך כלל «שני קולות אין נשמעין כאחד» – קשה לשמוע שני אנשים שמדברים יחד. למה במגילה שניים שקראו יחד – יצאו? הסבירו לפי 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המגילה חביבה על השומעים (הם אוהבים אותה), ולכן הם מתאמצים ומכוונים את דעתם לשמוע היטב גם כששניים קוראים יחד.</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(14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כמה עולים לתורה? (משניות א–ב). השלימו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15"/>
              <w:gridCol w:w="1238"/>
              <w:gridCol w:w="2477"/>
              <w:gridCol w:w="2476"/>
            </w:tblGrid>
            <w:tr>
              <w:trPr>
                <w:cantSplit/>
                <w:tblHeader/>
              </w:trPr>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כמה קורין?</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מוסיפין עליהן? (לפי לשון המשנה)</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מפטירין בנביא?</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 חמישי ושבת במנחה</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שלושה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ראשי חודשים וחול המועד</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ארבעה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חמישה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שישה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r>
            <w:tr>
              <w:trPr>
                <w:cantSplit/>
                <w:tblHeader w:val="false"/>
                <w:trHeight w:val="500" w:hRule="atLeast"/>
              </w:trPr>
              <w:tc>
                <w:tcPr>
                  <w:tcW w:type="dxa" w:w="371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שבעה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השלימו את «זה הכלל» של משנה ב: «כָּל שֶׁיֵּשׁ בּוֹ </w:t>
      </w:r>
      <w:r>
        <w:rPr>
          <w:rFonts w:ascii="Rubik Medium MG" w:cs="Rubik Medium MG" w:eastAsia="Rubik Medium MG" w:hAnsi="Rubik Medium MG"/>
          <w:b w:val="false"/>
          <w:color w:val="B3261E"/>
          <w:sz w:val="24"/>
          <w:szCs w:val="24"/>
          <w:u w:val="single" w:color="B3261E"/>
          <w:rtl/>
        </w:rPr>
        <w:t xml:space="preserve"> מוּסָף </w:t>
      </w:r>
      <w:r>
        <w:rPr>
          <w:rFonts w:ascii="Rubik MG" w:cs="Rubik MG" w:eastAsia="Rubik MG" w:hAnsi="Rubik MG"/>
          <w:b w:val="false"/>
          <w:color w:val="2A1F28"/>
          <w:sz w:val="24"/>
          <w:szCs w:val="24"/>
          <w:rtl/>
        </w:rPr>
        <w:t xml:space="preserve"> וְאֵינוֹ </w:t>
      </w:r>
      <w:r>
        <w:rPr>
          <w:rFonts w:ascii="Rubik Medium MG" w:cs="Rubik Medium MG" w:eastAsia="Rubik Medium MG" w:hAnsi="Rubik Medium MG"/>
          <w:b w:val="false"/>
          <w:color w:val="B3261E"/>
          <w:sz w:val="24"/>
          <w:szCs w:val="24"/>
          <w:u w:val="single" w:color="B3261E"/>
          <w:rtl/>
        </w:rPr>
        <w:t xml:space="preserve"> יוֹם טוֹב </w:t>
      </w:r>
      <w:r>
        <w:rPr>
          <w:rFonts w:ascii="Rubik MG" w:cs="Rubik MG" w:eastAsia="Rubik MG" w:hAnsi="Rubik MG"/>
          <w:b w:val="false"/>
          <w:color w:val="2A1F28"/>
          <w:sz w:val="24"/>
          <w:szCs w:val="24"/>
          <w:rtl/>
        </w:rPr>
        <w:t xml:space="preserve">, קוֹרִין </w:t>
      </w:r>
      <w:r>
        <w:rPr>
          <w:rFonts w:ascii="Rubik Medium MG" w:cs="Rubik Medium MG" w:eastAsia="Rubik Medium MG" w:hAnsi="Rubik Medium MG"/>
          <w:b w:val="false"/>
          <w:color w:val="B3261E"/>
          <w:sz w:val="24"/>
          <w:szCs w:val="24"/>
          <w:u w:val="single" w:color="B3261E"/>
          <w:rtl/>
        </w:rPr>
        <w:t xml:space="preserve"> אַרְבָּעָה </w:t>
      </w:r>
      <w:r>
        <w:rPr>
          <w:rFonts w:ascii="Rubik MG" w:cs="Rubik MG" w:eastAsia="Rubik MG" w:hAnsi="Rubik MG"/>
          <w:b w:val="false"/>
          <w:color w:val="2A1F28"/>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ניקוד: 2 נקודות לכל שורה בטבלה, 4 נקודות לסעיף 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עיון בברטנורא: למה בכל יום מספר העולים שונה?</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בי"ט ה' – </w:t>
                  </w:r>
                  <w:r>
                    <w:rPr>
                      <w:rFonts w:ascii="Frank Ruhl TB" w:cs="Frank Ruhl TB" w:eastAsia="Frank Ruhl TB" w:hAnsi="Frank Ruhl TB"/>
                      <w:b w:val="false"/>
                      <w:color w:val="2A1F28"/>
                      <w:sz w:val="25"/>
                      <w:szCs w:val="25"/>
                      <w:rtl/>
                    </w:rPr>
                    <w:t xml:space="preserve">דכל דטפי ליה מלתא מחבריה, טפי ליה גברא. הלכך בראשי חדשים ובמועד דאיכא קרבן מוסף קורין ד'. יו"ט דאיכא בטול מלאכה קורין חמשה. ויוה"כ דענוש כרת קורין ששה. שבת דחיוב סקילה קורין שבעה: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הסבירו במילים שלכם את הכלל «כל דטפי ליה מלתא מחבריה, טפי ליה גברא».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כל יום שיש בו עוד דבר מיוחד (חשיבות גדולה יותר) מהיום שלפניו – מוסיפים בו עוד עולה לתורה.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מה «מוסיף» כל יום? השלימו: ראש חודש – </w:t>
      </w:r>
      <w:r>
        <w:rPr>
          <w:rFonts w:ascii="Rubik Medium MG" w:cs="Rubik Medium MG" w:eastAsia="Rubik Medium MG" w:hAnsi="Rubik Medium MG"/>
          <w:b w:val="false"/>
          <w:color w:val="B3261E"/>
          <w:sz w:val="24"/>
          <w:szCs w:val="24"/>
          <w:u w:val="single" w:color="B3261E"/>
          <w:rtl/>
        </w:rPr>
        <w:t xml:space="preserve"> קרבן מוסף </w:t>
      </w:r>
      <w:r>
        <w:rPr>
          <w:rFonts w:ascii="Rubik MG" w:cs="Rubik MG" w:eastAsia="Rubik MG" w:hAnsi="Rubik MG"/>
          <w:b w:val="false"/>
          <w:color w:val="2A1F28"/>
          <w:sz w:val="24"/>
          <w:szCs w:val="24"/>
          <w:rtl/>
        </w:rPr>
        <w:t xml:space="preserve">; יום טוב – </w:t>
      </w:r>
      <w:r>
        <w:rPr>
          <w:rFonts w:ascii="Rubik Medium MG" w:cs="Rubik Medium MG" w:eastAsia="Rubik Medium MG" w:hAnsi="Rubik Medium MG"/>
          <w:b w:val="false"/>
          <w:color w:val="B3261E"/>
          <w:sz w:val="24"/>
          <w:szCs w:val="24"/>
          <w:u w:val="single" w:color="B3261E"/>
          <w:rtl/>
        </w:rPr>
        <w:t xml:space="preserve"> ביטול מלאכה </w:t>
      </w:r>
      <w:r>
        <w:rPr>
          <w:rFonts w:ascii="Rubik MG" w:cs="Rubik MG" w:eastAsia="Rubik MG" w:hAnsi="Rubik MG"/>
          <w:b w:val="false"/>
          <w:color w:val="2A1F28"/>
          <w:sz w:val="24"/>
          <w:szCs w:val="24"/>
          <w:rtl/>
        </w:rPr>
        <w:t xml:space="preserve">; יום הכיפורים – </w:t>
      </w:r>
      <w:r>
        <w:rPr>
          <w:rFonts w:ascii="Rubik Medium MG" w:cs="Rubik Medium MG" w:eastAsia="Rubik Medium MG" w:hAnsi="Rubik Medium MG"/>
          <w:b w:val="false"/>
          <w:color w:val="B3261E"/>
          <w:sz w:val="24"/>
          <w:szCs w:val="24"/>
          <w:u w:val="single" w:color="B3261E"/>
          <w:rtl/>
        </w:rPr>
        <w:t xml:space="preserve"> ענוש כרת </w:t>
      </w:r>
      <w:r>
        <w:rPr>
          <w:rFonts w:ascii="Rubik MG" w:cs="Rubik MG" w:eastAsia="Rubik MG" w:hAnsi="Rubik MG"/>
          <w:b w:val="false"/>
          <w:color w:val="2A1F28"/>
          <w:sz w:val="24"/>
          <w:szCs w:val="24"/>
          <w:rtl/>
        </w:rPr>
        <w:t xml:space="preserve">; שבת – </w:t>
      </w:r>
      <w:r>
        <w:rPr>
          <w:rFonts w:ascii="Rubik Medium MG" w:cs="Rubik Medium MG" w:eastAsia="Rubik Medium MG" w:hAnsi="Rubik Medium MG"/>
          <w:b w:val="false"/>
          <w:color w:val="B3261E"/>
          <w:sz w:val="24"/>
          <w:szCs w:val="24"/>
          <w:u w:val="single" w:color="B3261E"/>
          <w:rtl/>
        </w:rPr>
        <w:t xml:space="preserve"> חיוב סקילה </w:t>
      </w:r>
      <w:r>
        <w:rPr>
          <w:rFonts w:ascii="Rubik MG" w:cs="Rubik MG" w:eastAsia="Rubik MG" w:hAnsi="Rubik MG"/>
          <w:b w:val="false"/>
          <w:color w:val="2A1F28"/>
          <w:sz w:val="24"/>
          <w:szCs w:val="24"/>
          <w:rtl/>
        </w:rPr>
        <w:t xml:space="preserve">.</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דברים שבקדושה (משנה ג): «אֵין פּוֹרְסִין אֶת שְׁמַע, וְאֵין עוֹבְרִין לִפְנֵי הַתֵּבָה, וְאֵין נוֹשְׂאִין אֶת כַּפֵּיהֶם, וְאֵין קוֹרִין בַּתּוֹרָה... פָּחוֹת מֵעֲשָׂרָה».</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ואין קורין בתורה – </w:t>
                  </w:r>
                  <w:r>
                    <w:rPr>
                      <w:rFonts w:ascii="Frank Ruhl TB" w:cs="Frank Ruhl TB" w:eastAsia="Frank Ruhl TB" w:hAnsi="Frank Ruhl TB"/>
                      <w:b w:val="false"/>
                      <w:color w:val="2A1F28"/>
                      <w:sz w:val="25"/>
                      <w:szCs w:val="25"/>
                      <w:rtl/>
                    </w:rPr>
                    <w:t xml:space="preserve">בצבור. וכל הני אין נעשים בפחות מעשרה, דכתיב (ויקרא כב) ונקדשתי בתוך בני ישראל, כל דבר שבקדושה לא יהא בפחות מעשרה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כתבו עוד שלושה דברים מהמשנה שאין עושים פחות מעשרה: </w:t>
      </w:r>
      <w:r>
        <w:rPr>
          <w:rFonts w:ascii="Rubik Medium MG" w:cs="Rubik Medium MG" w:eastAsia="Rubik Medium MG" w:hAnsi="Rubik Medium MG"/>
          <w:b w:val="false"/>
          <w:color w:val="B3261E"/>
          <w:sz w:val="24"/>
          <w:szCs w:val="24"/>
          <w:u w:val="single" w:color="B3261E"/>
          <w:rtl/>
        </w:rPr>
        <w:t xml:space="preserve"> אין מפטירין בנביא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אין עושין מעמד ומושב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אין אומרים ברכת אבלים ותנחומי אבלים וברכת חתנים / אין מזמנין בשם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מאיזה פסוק לומד הברטנורא שדבר שבקדושה צריך עשרה? </w:t>
      </w:r>
      <w:r>
        <w:rPr>
          <w:rFonts w:ascii="Rubik Medium MG" w:cs="Rubik Medium MG" w:eastAsia="Rubik Medium MG" w:hAnsi="Rubik Medium MG"/>
          <w:b w:val="false"/>
          <w:color w:val="B3261E"/>
          <w:sz w:val="24"/>
          <w:szCs w:val="24"/>
          <w:u w:val="single" w:color="B3261E"/>
          <w:rtl/>
        </w:rPr>
        <w:t xml:space="preserve"> «ונקדשתי בתוך בני ישראל»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מה פירוש «עוֹבֵר לִפְנֵי הַתֵּבָה»? </w:t>
      </w:r>
      <w:r>
        <w:rPr>
          <w:rFonts w:ascii="Rubik Medium MG" w:cs="Rubik Medium MG" w:eastAsia="Rubik Medium MG" w:hAnsi="Rubik Medium MG"/>
          <w:b w:val="false"/>
          <w:color w:val="B3261E"/>
          <w:sz w:val="24"/>
          <w:szCs w:val="24"/>
          <w:u w:val="single" w:color="B3261E"/>
          <w:rtl/>
        </w:rPr>
        <w:t xml:space="preserve"> שליח הציבור שמתפלל לפני העמוד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ההבדל?» – קטן ופוחח (משנה ו). כתבו בכל משבצת «כן» או «לא».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1415"/>
              <w:gridCol w:w="1415"/>
              <w:gridCol w:w="1415"/>
              <w:gridCol w:w="1415"/>
              <w:gridCol w:w="1416"/>
            </w:tblGrid>
            <w:tr>
              <w:trPr>
                <w:cantSplit/>
                <w:tblHeader/>
              </w:trPr>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קורא בתורה</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מתרגם</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פורס על שמע</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עובר לפני התבה</w:t>
                  </w:r>
                </w:p>
              </w:tc>
              <w:tc>
                <w:tcPr>
                  <w:tcW w:type="dxa" w:w="141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נושא את כפיו</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קָטָן</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c>
                <w:tcPr>
                  <w:tcW w:type="dxa" w:w="141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פּוֹחֵחַ (בגדיו קרועים)</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c>
                <w:tcPr>
                  <w:tcW w:type="dxa" w:w="141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למה הפוחח אינו קורא בתורה, לפי הברטנורא? </w:t>
      </w:r>
      <w:r>
        <w:rPr>
          <w:rFonts w:ascii="Rubik Medium MG" w:cs="Rubik Medium MG" w:eastAsia="Rubik Medium MG" w:hAnsi="Rubik Medium MG"/>
          <w:b w:val="false"/>
          <w:color w:val="B3261E"/>
          <w:sz w:val="24"/>
          <w:szCs w:val="24"/>
          <w:u w:val="single" w:color="B3261E"/>
          <w:rtl/>
        </w:rPr>
        <w:t xml:space="preserve"> מפני כבוד התורה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«סוּמָא פּוֹרֵס אֶת שְׁמַע». מה דעת רבי יהודה על מי שלא ראה מאורות מימיו? </w:t>
      </w:r>
      <w:r>
        <w:rPr>
          <w:rFonts w:ascii="Rubik Medium MG" w:cs="Rubik Medium MG" w:eastAsia="Rubik Medium MG" w:hAnsi="Rubik Medium MG"/>
          <w:b w:val="false"/>
          <w:color w:val="B3261E"/>
          <w:sz w:val="24"/>
          <w:szCs w:val="24"/>
          <w:u w:val="single" w:color="B3261E"/>
          <w:rtl/>
        </w:rPr>
        <w:t xml:space="preserve"> אינו פורס על שמע </w:t>
      </w:r>
      <w:r>
        <w:rPr>
          <w:rFonts w:ascii="Rubik MG" w:cs="Rubik MG" w:eastAsia="Rubik MG" w:hAnsi="Rubik MG"/>
          <w:b w:val="false"/>
          <w:color w:val="2A1F28"/>
          <w:sz w:val="24"/>
          <w:szCs w:val="24"/>
          <w:rtl/>
        </w:rPr>
        <w:t xml:space="preserve">. כמי ההלכה? </w:t>
      </w:r>
      <w:r>
        <w:rPr>
          <w:rFonts w:ascii="Rubik Medium MG" w:cs="Rubik Medium MG" w:eastAsia="Rubik Medium MG" w:hAnsi="Rubik Medium MG"/>
          <w:b w:val="false"/>
          <w:color w:val="B3261E"/>
          <w:sz w:val="24"/>
          <w:szCs w:val="24"/>
          <w:u w:val="single" w:color="B3261E"/>
          <w:rtl/>
        </w:rPr>
        <w:t xml:space="preserve"> לא כרבי יהודה – גם הוא פורס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ניקוד: 0.8 נקודה לכל משבצת בטבלה (8 נק'), 2 נקודות לכל סעיף.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הקורא בתורה לא יקרא פחות משלושה פסוקים.</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מדלגין בתורה, ואין מדלגין בנביא.</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מדלגין בנביא, ואין מדלגין בתורה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שיש בידיו מומין לא ישא את כפיו.</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שעשה תפילין עגולות – קיים מצווה.</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סכנה, ואין בה מצוה – תפילין צריכות להיות מרובעות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יש בתורה פרשיות שקוראים אותן בציבור ואין מתרגמים אותן.</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2 נקודות לכל שורה.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זוגות מתאימים: מתחו קו בין המושג לבין ההסבר שלו.</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פּוֹרֵס עַל שְׁמַע</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ברכת כהנים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מְתֻרְגְּמָן</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מי שקורא את ההפטרה מספרי הנביאים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נְשִׂיאַת כַּפַּיִם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אומר קדיש, ברכו וברכה ראשונה של קריאת שמע לאנשים שלא שמעו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מַפְטִיר בַּנָּבִיא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מי שמתרגם את הקריאה לארמית בעל פה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פּוֹחֵחַ</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מי שבגדיו קרועים וזרועותיו נראים</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פורס על שמע – אומר קדיש, ברכו וברכה ראשונה של קריאת שמע · מתורגמן – מתרגם את הקריאה לארמית בעל פה · נשיאת כפיים – ברכת כהנים · מפטיר בנביא – קורא את ההפטרה מספרי הנביאים · פוחח – בגדיו קרועים וזרועותיו נראים.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2 נקודות לכל זוג.</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(8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למה לא יקרא הקורא בתורה למתורגמן יותר מפסוק אחד?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כדי שהקריאה לא תהיה ארוכה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שלא יטעה המתורגמן, שמתרגם על פה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כי אסור לתרגם יותר מפסוק</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כדי שהציבור יענה אמן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שלא יטעה המתורגמן, שמתרגם על פה (ברטנורא).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Lines/>
        <w:bidi/>
        <w:spacing w:after="90" w:before="40" w:line="300"/>
        <w:ind w:start="420"/>
        <w:jc w:val="both"/>
      </w:pPr>
      <w:r>
        <w:rPr>
          <w:rFonts w:ascii="Rubik MG" w:cs="Rubik MG" w:eastAsia="Rubik MG" w:hAnsi="Rubik MG"/>
          <w:b w:val="false"/>
          <w:color w:val="2A1F28"/>
          <w:sz w:val="24"/>
          <w:szCs w:val="24"/>
          <w:rtl/>
        </w:rPr>
        <w:t xml:space="preserve">מי שמפטיר בנביא – מה עוד הוא עושה לפי משנה 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קורא בתורה ראשון</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פורס על שמע ועובר לפני התבה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מתרגם את ההפטרה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מברך רק לאחריה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פורס על שמע, עובר לפני התבה (ונושא את כפיו אם הוא כהן) – לכבודו, כי ההפטרה אינה כבודו.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4 נקודות לכל סעיף.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המשנה בחיינו: «כל דבר שבקדושה לא יהא בפחות מעשרה». לדעתכם, למה חשוב שקדיש, קדושה וקריאת התורה ייאמרו דווקא בציבור (במניין)? ספרו על פעם שעזרתם להשלים מניין, או שראיתם כמה חשוב כל אחד מהעשרה.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כשעשרה מתאספים – זו «עדה», ציבור, ו«ונקדשתי בתוך בני ישראל» – הקדושה מתגלה דווקא בציבור. כל אחד חשוב: בלי האחד העשירי אין מניין. מחוון: הסבר הערך (5 נק'), דוגמה אישית מתאימה (5 נק').</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40"/>
      </w:pPr>
      <w:r>
        <w:rPr>
          <w:rFonts w:ascii="Arial" w:cs="Arial" w:eastAsia="Arial" w:hAnsi="Arial"/>
          <w:color w:val="FDF8F2"/>
          <w:sz w:val="2"/>
          <w:szCs w:val="2"/>
        </w:rPr>
        <w:t xml:space="preserve">QQS4QQ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מבחנים</w:t>
            </w:r>
          </w:p>
          <w:p>
            <w:pPr>
              <w:keepNext/>
              <w:keepLines/>
              <w:bidi/>
              <w:spacing w:after="60" w:before="0" w:line="240" w:lineRule="auto"/>
              <w:jc w:val="both"/>
            </w:pPr>
            <w:r>
              <w:rPr>
                <w:rFonts w:ascii="Suez One" w:cs="Suez One" w:eastAsia="Suez One" w:hAnsi="Suez One"/>
                <w:b w:val="false"/>
                <w:color w:val="5B2245"/>
                <w:sz w:val="51"/>
                <w:szCs w:val="51"/>
                <w:rtl/>
              </w:rPr>
              <w:t xml:space="preserve">מבחן מסכם – מסכת מגילה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שם: </w:t>
            </w:r>
            <w:r>
              <w:rPr>
                <w:rFonts w:ascii="Rubik MG" w:cs="Rubik MG" w:eastAsia="Rubik MG" w:hAnsi="Rubik MG"/>
                <w:b w:val="false"/>
                <w:color w:val="A69AA2"/>
                <w:sz w:val="24"/>
                <w:szCs w:val="24"/>
                <w:rtl/>
              </w:rPr>
              <w:t xml:space="preserve">____________</w:t>
            </w:r>
            <w:r>
              <w:rPr>
                <w:rFonts w:ascii="Rubik MG" w:cs="Rubik MG" w:eastAsia="Rubik MG" w:hAnsi="Rubik MG"/>
                <w:b w:val="false"/>
                <w:color w:val="2A1F28"/>
                <w:sz w:val="24"/>
                <w:szCs w:val="24"/>
                <w:rtl/>
              </w:rPr>
              <w:t xml:space="preserve">   כיתה: </w:t>
            </w:r>
            <w:r>
              <w:rPr>
                <w:rFonts w:ascii="Rubik MG" w:cs="Rubik MG" w:eastAsia="Rubik MG" w:hAnsi="Rubik MG"/>
                <w:b w:val="false"/>
                <w:color w:val="A69AA2"/>
                <w:sz w:val="24"/>
                <w:szCs w:val="24"/>
                <w:rtl/>
              </w:rPr>
              <w:t xml:space="preserve">______</w:t>
            </w:r>
            <w:r>
              <w:rPr>
                <w:rFonts w:ascii="Rubik MG" w:cs="Rubik MG" w:eastAsia="Rubik MG" w:hAnsi="Rubik MG"/>
                <w:b w:val="false"/>
                <w:color w:val="2A1F28"/>
                <w:sz w:val="24"/>
                <w:szCs w:val="24"/>
                <w:rtl/>
              </w:rPr>
              <w:t xml:space="preserve">   תאריך: </w:t>
            </w:r>
            <w:r>
              <w:rPr>
                <w:rFonts w:ascii="Rubik MG" w:cs="Rubik MG" w:eastAsia="Rubik MG" w:hAnsi="Rubik MG"/>
                <w:b w:val="false"/>
                <w:color w:val="A69AA2"/>
                <w:sz w:val="24"/>
                <w:szCs w:val="24"/>
                <w:rtl/>
              </w:rPr>
              <w:t xml:space="preserve">________</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קראו כל שאלה בעיון וענו בכתב ברור. ליד כל שאלה רשום מספר הנקודות. בהצלחה!</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המבחן עוסק בכל ארבעת הפרקים של המסכת.</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זוגות מתאימים: מתחו קו בין שם הפרק לבין הנושא המרכזי שלו.</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שם הפרק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הנושא המרכזי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פרק א – מגילה נקראת</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מכירת דברים שבקדושה, כבוד בית הכנסת וקריאת התורה במועדים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פרק ב – הקורא למפרע</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כמה עולים לתורה, דברים שבקדושה, ההפטרה ונשיאת כפיים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פרק ג – בני העיר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זמני קריאת המגילה, ומשניות «אין בין... אלא...»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פרק ד – הקורא עומד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איך קוראים את המגילה, מי כשר לקרוא, ומצוות של יום ושל לילה</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פרק א – זמני קריאת המגילה ו«אין בין» · פרק ב – איך קוראים את המגילה, מי כשר לקרוא, מצוות של יום ושל לילה · פרק ג – מכירת דברים שבקדושה, כבוד בית הכנסת וקריאת התורה במועדים · פרק ד – כמה עולים לתורה, דברים שבקדושה, ההפטרה ונשיאת כפיים.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2.5 נקודות לכל זוג.</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קראו את פרק א משנה ה והשלימו את תרשים הכאמד"ט:</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«אֵין בֵּין יוֹם טוֹב לַשַּׁבָּת, אֶלָּא אֹכֶל נֶפֶשׁ בִּלְבָד. אֵין בֵּין שַׁבָּת לְיוֹם הַכִּפּוּרִים, אֶלָּא שֶׁזֶּה זְדוֹנוֹ בִּידֵי אָדָם, וְזֶה זְדוֹנוֹ בְּכָרֵת»</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1"/>
              <w:gridCol w:w="901"/>
              <w:gridCol w:w="1801"/>
              <w:gridCol w:w="2702"/>
              <w:gridCol w:w="2701"/>
            </w:tblGrid>
            <w:tr>
              <w:trPr>
                <w:cantSplit/>
                <w:tblHeader/>
              </w:trPr>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9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 (מה משווים?)</w:t>
                  </w:r>
                </w:p>
              </w:tc>
              <w:tc>
                <w:tcPr>
                  <w:tcW w:type="dxa" w:w="27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 (מה ההבדל?)</w:t>
                  </w:r>
                </w:p>
              </w:tc>
              <w:tc>
                <w:tcPr>
                  <w:tcW w:type="dxa" w:w="27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 / הסבר</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ההבדל בין ימים קדושים </w:t>
                  </w:r>
                </w:p>
              </w:tc>
              <w:tc>
                <w:tcPr>
                  <w:tcW w:type="dxa" w:w="9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18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 ושבת</w:t>
                  </w:r>
                </w:p>
              </w:tc>
              <w:tc>
                <w:tcPr>
                  <w:tcW w:type="dxa" w:w="27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ביום טוב מותר אוכל נפש (מלאכה לצורך אוכל); בשבת אסור </w:t>
                  </w:r>
                </w:p>
              </w:tc>
              <w:tc>
                <w:tcPr>
                  <w:tcW w:type="dxa" w:w="27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בשאר המלאכות הם שווים </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18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שבת ויום הכיפורים </w:t>
                  </w:r>
                </w:p>
              </w:tc>
              <w:tc>
                <w:tcPr>
                  <w:tcW w:type="dxa" w:w="27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שבת – זדונו בידי אדם; יום הכיפורים – זדונו בכרת </w:t>
                  </w:r>
                </w:p>
              </w:tc>
              <w:tc>
                <w:tcPr>
                  <w:tcW w:type="dxa" w:w="27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בשבת – מיתת בית דין (ברטנורא)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מה פירוש «זְדוֹנוֹ»? </w:t>
      </w:r>
      <w:r>
        <w:rPr>
          <w:rFonts w:ascii="Rubik Medium MG" w:cs="Rubik Medium MG" w:eastAsia="Rubik Medium MG" w:hAnsi="Rubik Medium MG"/>
          <w:b w:val="false"/>
          <w:color w:val="B3261E"/>
          <w:sz w:val="24"/>
          <w:szCs w:val="24"/>
          <w:u w:val="single" w:color="B3261E"/>
          <w:rtl/>
        </w:rPr>
        <w:t xml:space="preserve"> מי שעושה את העבירה בכוונה (במזיד)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1 נקודה לכל משבצת, ו־2 נקודות לסעיף 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עיון בברטנורא (פרק א משנה ח): רבן שמעון בן גמליאל אומר שספרים מותר לכתוב, מלבד אשורית, רק ביוונית.</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אין נכתבין אלא יונית – </w:t>
                  </w:r>
                  <w:r>
                    <w:rPr>
                      <w:rFonts w:ascii="Frank Ruhl TB" w:cs="Frank Ruhl TB" w:eastAsia="Frank Ruhl TB" w:hAnsi="Frank Ruhl TB"/>
                      <w:b w:val="false"/>
                      <w:color w:val="2A1F28"/>
                      <w:sz w:val="25"/>
                      <w:szCs w:val="25"/>
                      <w:rtl/>
                    </w:rPr>
                    <w:t xml:space="preserve">וטעמא דשרו ספרים ביונית יותר משאר לשונות, דאמר קרא (בראשית ט,) יפת אלהים ליפת וישכון באהלי שם... ואין לך לשון יפה בכל בני יפת כלשון יוני. והלכה כרשב"ג. מיהו בזמן הזה כבר אבד אותו לשון יוני ונשתבש, לפיכך אין כותבין ספרים בזמן הזה אלא בכתב הקודש ובלשון הקודש: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א) </w:t>
      </w:r>
      <w:r>
        <w:rPr>
          <w:rFonts w:ascii="Rubik MG" w:cs="Rubik MG" w:eastAsia="Rubik MG" w:hAnsi="Rubik MG"/>
          <w:b w:val="false"/>
          <w:color w:val="2A1F28"/>
          <w:sz w:val="24"/>
          <w:szCs w:val="24"/>
          <w:rtl/>
        </w:rPr>
        <w:t xml:space="preserve">מאיזה פסוק לומד הברטנורא שיוונית מיוחדת? </w:t>
      </w:r>
      <w:r>
        <w:rPr>
          <w:rFonts w:ascii="Rubik Medium MG" w:cs="Rubik Medium MG" w:eastAsia="Rubik Medium MG" w:hAnsi="Rubik Medium MG"/>
          <w:b w:val="false"/>
          <w:color w:val="B3261E"/>
          <w:sz w:val="24"/>
          <w:szCs w:val="24"/>
          <w:u w:val="single" w:color="B3261E"/>
          <w:rtl/>
        </w:rPr>
        <w:t xml:space="preserve"> «יפת אלהים ליפת וישכון באהלי שם»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ב) </w:t>
      </w:r>
      <w:r>
        <w:rPr>
          <w:rFonts w:ascii="Rubik MG" w:cs="Rubik MG" w:eastAsia="Rubik MG" w:hAnsi="Rubik MG"/>
          <w:b w:val="false"/>
          <w:color w:val="2A1F28"/>
          <w:sz w:val="24"/>
          <w:szCs w:val="24"/>
          <w:rtl/>
        </w:rPr>
        <w:t xml:space="preserve">למה היום אין כותבים ספרים (ספר תורה) ביוונית, לפי 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הלשון היוונית של אז אבדה ונשתבשה, ולכן היום כותבים ספרים רק בכתב הקודש ובלשון הקודש.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0" w:line="300" w:lineRule="auto"/>
        <w:ind w:start="800" w:hanging="380"/>
        <w:jc w:val="both"/>
      </w:pPr>
      <w:r>
        <w:rPr>
          <w:rFonts w:ascii="Rubik Bold MG" w:cs="Rubik Bold MG" w:eastAsia="Rubik Bold MG" w:hAnsi="Rubik Bold MG"/>
          <w:b w:val="false"/>
          <w:color w:val="5B2245"/>
          <w:sz w:val="24"/>
          <w:szCs w:val="24"/>
          <w:rtl/>
        </w:rPr>
        <w:t xml:space="preserve">ג) </w:t>
      </w:r>
      <w:r>
        <w:rPr>
          <w:rFonts w:ascii="Rubik MG" w:cs="Rubik MG" w:eastAsia="Rubik MG" w:hAnsi="Rubik MG"/>
          <w:b w:val="false"/>
          <w:color w:val="2A1F28"/>
          <w:sz w:val="24"/>
          <w:szCs w:val="24"/>
          <w:rtl/>
        </w:rPr>
        <w:t xml:space="preserve">באיזה דבר תפילין ומזוזות שונות מספרים, לפי המשנה? </w:t>
      </w:r>
      <w:r>
        <w:rPr>
          <w:rFonts w:ascii="Rubik Medium MG" w:cs="Rubik Medium MG" w:eastAsia="Rubik Medium MG" w:hAnsi="Rubik Medium MG"/>
          <w:b w:val="false"/>
          <w:color w:val="B3261E"/>
          <w:sz w:val="24"/>
          <w:szCs w:val="24"/>
          <w:u w:val="single" w:color="B3261E"/>
          <w:rtl/>
        </w:rPr>
        <w:t xml:space="preserve"> תפילין ומזוזות נכתבות רק אשורית, וספרים – בכל לשון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«מי אמר?» – השלימו את שם התנא ואת מקום הדעה במסכת.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24"/>
                      <w:szCs w:val="24"/>
                      <w:rtl/>
                    </w:rPr>
                    <w:t xml:space="preserve">רבי מאיר   ·   רבי יהודה   ·   רבי יוסי   ·   רבן שמעון בן גמליאל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הדעה</w:t>
                  </w:r>
                </w:p>
              </w:tc>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«אַף בַּסְּפָרִים, לֹא הִתִּירוּ שֶׁיִּכָּתְבוּ אֶלָּא יְוָנִית»</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רבן שמעון בן גמליאל </w:t>
                  </w:r>
                </w:p>
              </w:tc>
              <w:tc>
                <w:tcPr>
                  <w:tcW w:type="dxa" w:w="22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את המגילה «מֵאַחַר הַדְּבָרִים הָאֵלֶּה»</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יוסי </w:t>
                  </w:r>
                </w:p>
              </w:tc>
              <w:tc>
                <w:tcPr>
                  <w:tcW w:type="dxa" w:w="22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מוכרין בית הכנסת אלא על תנאי שאם ירצו יחזירוהו</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מאיר </w:t>
                  </w:r>
                </w:p>
              </w:tc>
              <w:tc>
                <w:tcPr>
                  <w:tcW w:type="dxa" w:w="22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ג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קטן כשר לקרוא את המגילה («מַכְשִׁיר בְּקָטָן»)</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22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1.5 נקודות לכל משבצת.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הדין?» – כתבו את הדין לפי המשנה.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4403"/>
            </w:tblGrid>
            <w:tr>
              <w:trPr>
                <w:cantSplit/>
                <w:tblHeader/>
              </w:trPr>
              <w:tc>
                <w:tcPr>
                  <w:tcW w:type="dxa" w:w="55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המקרה</w:t>
                  </w:r>
                </w:p>
              </w:tc>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הדין</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י"ד באדר חל ביום ראשון («אַחַר הַשַּׁבָּת»). מתי קוראים בכפר?</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מקדימין ליום הכניסה – יום חמישי שלפניו (י"א)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מגילה נכתבה בסיקרא (צבע אדום) על קלף.</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יצא – צריך לכתוב בדיו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בני העיר מכרו ספר תורה. האם מותר להם לקנות בכסף ספרי נביאים?</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 מעלין בקודש ואין מורידין </w:t>
                  </w:r>
                </w:p>
              </w:tc>
            </w:tr>
            <w:tr>
              <w:trPr>
                <w:cantSplit/>
                <w:tblHeader w:val="false"/>
                <w:trHeight w:val="500" w:hRule="atLeast"/>
              </w:trPr>
              <w:tc>
                <w:tcPr>
                  <w:tcW w:type="dxa" w:w="55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שני רגיל בשבוע. כמה עולים לתורה?</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שלושה – אין פוחתין ואין מוסיפין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3 נקודות לכל שורה.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(12 נקודות)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אמת או טעות? כתבו «אמת» או «טעות», ותקנו כל משפט שגוי.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991"/>
              <w:gridCol w:w="3962"/>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שקרא את המגילה בהפסקות (סירוגין) – לא יצא.</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יצא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בשבת שנייה של ארבע הפרשיות קוראים פרשת «זכור».</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מזמנים בשם (בזימון) גם פחות מעשרה.</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מזמנין בשם פחות מעשרה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בשילה אכלו קדשים קלים בכל מקום שרואים ממנו את שילה.</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3 נקודות לכל שורה.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הקיפו את התשובה הנכונה.</w:t>
      </w:r>
    </w:p>
    <w:p>
      <w:pPr>
        <w:keepLines/>
        <w:bidi/>
        <w:spacing w:after="90" w:before="40" w:line="300"/>
        <w:ind w:start="420"/>
        <w:jc w:val="both"/>
      </w:pPr>
      <w:r>
        <w:rPr>
          <w:rFonts w:ascii="Rubik MG" w:cs="Rubik MG" w:eastAsia="Rubik MG" w:hAnsi="Rubik MG"/>
          <w:b w:val="false"/>
          <w:color w:val="2A1F28"/>
          <w:sz w:val="24"/>
          <w:szCs w:val="24"/>
          <w:rtl/>
        </w:rPr>
        <w:t xml:space="preserve">מה ההבדל בין מצורע מוסגר למצורע מוחלט, לפי המשנה?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במוחלט יש פריעה ופרימה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במוסגר מביאים קרבן</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אין ביניהם הבדל</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רק המוסגר טמא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רק במוחלט יש פריעה ופרימה («אֶלָּא פְּרִיעָה וּפְרִימָה»).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Lines/>
        <w:bidi/>
        <w:spacing w:after="90" w:before="40" w:line="300"/>
        <w:ind w:start="420"/>
        <w:jc w:val="both"/>
      </w:pPr>
      <w:r>
        <w:rPr>
          <w:rFonts w:ascii="Rubik MG" w:cs="Rubik MG" w:eastAsia="Rubik MG" w:hAnsi="Rubik MG"/>
          <w:b w:val="false"/>
          <w:color w:val="2A1F28"/>
          <w:sz w:val="24"/>
          <w:szCs w:val="24"/>
          <w:rtl/>
        </w:rPr>
        <w:t xml:space="preserve">מה ההבדל בין קדושת שילה לקדושת ירושלים?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בשילה אכלו קדשי קדשים בכל הרואה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אחרי שילה יש היתר לבמות, ואחרי ירושלים – אין היתר</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בירושלים אוכלים מעשר שני בכל הרואה</w:t>
      </w:r>
      <w:r>
        <w:rPr>
          <w:rFonts w:ascii="Rubik MG" w:cs="Rubik MG" w:eastAsia="Rubik MG" w:hAnsi="Rubik MG"/>
          <w:b w:val="false"/>
          <w:color w:val="2A1F28"/>
          <w:sz w:val="24"/>
          <w:szCs w:val="24"/>
          <w:rtl/>
        </w:rPr>
        <w:t xml:space="preserve">       </w:t>
      </w:r>
      <w:r>
        <w:rPr>
          <w:rFonts w:ascii="Rubik MG" w:cs="Rubik MG" w:eastAsia="Rubik MG" w:hAnsi="Rubik MG"/>
          <w:b w:val="false"/>
          <w:color w:val="D08A2E"/>
          <w:sz w:val="23"/>
          <w:szCs w:val="23"/>
          <w:rtl/>
        </w:rPr>
        <w:t xml:space="preserve">○ </w:t>
      </w:r>
      <w:r>
        <w:rPr>
          <w:rFonts w:ascii="Rubik Medium MG" w:cs="Rubik Medium MG" w:eastAsia="Rubik Medium MG" w:hAnsi="Rubik Medium MG"/>
          <w:b w:val="false"/>
          <w:color w:val="1D6A66"/>
          <w:sz w:val="24"/>
          <w:szCs w:val="24"/>
          <w:rtl/>
        </w:rPr>
        <w:t xml:space="preserve">אין ביניהן הבדל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«קְדֻשַּׁת שִׁילֹה יֵשׁ אַחֲרֶיהָ הֶתֵּר, וּקְדֻשַּׁת יְרוּשָׁלַיִם אֵין אַחֲרֶיהָ הֶתֵּר» – כשחרבה שילה הותרו הבמות.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5 נקודות לכל סעיף.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השלימו את הסיכום בעזרת מחסן המילים.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24"/>
                      <w:szCs w:val="24"/>
                      <w:rtl/>
                    </w:rPr>
                    <w:t xml:space="preserve">הכניסה   ·   עשרה   ·   אשורית   ·   ט"ו   ·   למפרע   ·   שקלים   ·   מעלין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כרכים המוקפים חומה מימות יהושע קוראים את המגילה ב</w:t>
      </w:r>
      <w:r>
        <w:rPr>
          <w:rFonts w:ascii="Rubik Medium MG" w:cs="Rubik Medium MG" w:eastAsia="Rubik Medium MG" w:hAnsi="Rubik Medium MG"/>
          <w:b w:val="false"/>
          <w:color w:val="B3261E"/>
          <w:sz w:val="24"/>
          <w:szCs w:val="24"/>
          <w:u w:val="single" w:color="B3261E"/>
          <w:rtl/>
        </w:rPr>
        <w:t xml:space="preserve"> ט"ו </w:t>
      </w:r>
      <w:r>
        <w:rPr>
          <w:rFonts w:ascii="Rubik MG" w:cs="Rubik MG" w:eastAsia="Rubik MG" w:hAnsi="Rubik MG"/>
          <w:b w:val="false"/>
          <w:color w:val="2A1F28"/>
          <w:sz w:val="24"/>
          <w:szCs w:val="24"/>
          <w:rtl/>
        </w:rPr>
        <w:t xml:space="preserve">, והכפרים מקדימים ליום </w:t>
      </w:r>
      <w:r>
        <w:rPr>
          <w:rFonts w:ascii="Rubik Medium MG" w:cs="Rubik Medium MG" w:eastAsia="Rubik Medium MG" w:hAnsi="Rubik Medium MG"/>
          <w:b w:val="false"/>
          <w:color w:val="B3261E"/>
          <w:sz w:val="24"/>
          <w:szCs w:val="24"/>
          <w:u w:val="single" w:color="B3261E"/>
          <w:rtl/>
        </w:rPr>
        <w:t xml:space="preserve"> הכניסה </w:t>
      </w:r>
      <w:r>
        <w:rPr>
          <w:rFonts w:ascii="Rubik MG" w:cs="Rubik MG" w:eastAsia="Rubik MG" w:hAnsi="Rubik MG"/>
          <w:b w:val="false"/>
          <w:color w:val="2A1F28"/>
          <w:sz w:val="24"/>
          <w:szCs w:val="24"/>
          <w:rtl/>
        </w:rPr>
        <w:t xml:space="preserve">. הקורא את המגילה </w:t>
      </w:r>
      <w:r>
        <w:rPr>
          <w:rFonts w:ascii="Rubik Medium MG" w:cs="Rubik Medium MG" w:eastAsia="Rubik Medium MG" w:hAnsi="Rubik Medium MG"/>
          <w:b w:val="false"/>
          <w:color w:val="B3261E"/>
          <w:sz w:val="24"/>
          <w:szCs w:val="24"/>
          <w:u w:val="single" w:color="B3261E"/>
          <w:rtl/>
        </w:rPr>
        <w:t xml:space="preserve"> למפרע </w:t>
      </w:r>
      <w:r>
        <w:rPr>
          <w:rFonts w:ascii="Rubik MG" w:cs="Rubik MG" w:eastAsia="Rubik MG" w:hAnsi="Rubik MG"/>
          <w:b w:val="false"/>
          <w:color w:val="2A1F28"/>
          <w:sz w:val="24"/>
          <w:szCs w:val="24"/>
          <w:rtl/>
        </w:rPr>
        <w:t xml:space="preserve"> – לא יצא, ומגילה כשרה צריכה להיות כתובה </w:t>
      </w:r>
      <w:r>
        <w:rPr>
          <w:rFonts w:ascii="Rubik Medium MG" w:cs="Rubik Medium MG" w:eastAsia="Rubik Medium MG" w:hAnsi="Rubik Medium MG"/>
          <w:b w:val="false"/>
          <w:color w:val="B3261E"/>
          <w:sz w:val="24"/>
          <w:szCs w:val="24"/>
          <w:u w:val="single" w:color="B3261E"/>
          <w:rtl/>
        </w:rPr>
        <w:t xml:space="preserve"> אשורית </w:t>
      </w:r>
      <w:r>
        <w:rPr>
          <w:rFonts w:ascii="Rubik MG" w:cs="Rubik MG" w:eastAsia="Rubik MG" w:hAnsi="Rubik MG"/>
          <w:b w:val="false"/>
          <w:color w:val="2A1F28"/>
          <w:sz w:val="24"/>
          <w:szCs w:val="24"/>
          <w:rtl/>
        </w:rPr>
        <w:t xml:space="preserve"> על הספר ובדיו. בדברים שבקדושה </w:t>
      </w:r>
      <w:r>
        <w:rPr>
          <w:rFonts w:ascii="Rubik Medium MG" w:cs="Rubik Medium MG" w:eastAsia="Rubik Medium MG" w:hAnsi="Rubik Medium MG"/>
          <w:b w:val="false"/>
          <w:color w:val="B3261E"/>
          <w:sz w:val="24"/>
          <w:szCs w:val="24"/>
          <w:u w:val="single" w:color="B3261E"/>
          <w:rtl/>
        </w:rPr>
        <w:t xml:space="preserve"> מעלין </w:t>
      </w:r>
      <w:r>
        <w:rPr>
          <w:rFonts w:ascii="Rubik MG" w:cs="Rubik MG" w:eastAsia="Rubik MG" w:hAnsi="Rubik MG"/>
          <w:b w:val="false"/>
          <w:color w:val="2A1F28"/>
          <w:sz w:val="24"/>
          <w:szCs w:val="24"/>
          <w:rtl/>
        </w:rPr>
        <w:t xml:space="preserve"> ואין מורידין. בשבת הראשונה של ארבע הפרשיות קוראים פרשת </w:t>
      </w:r>
      <w:r>
        <w:rPr>
          <w:rFonts w:ascii="Rubik Medium MG" w:cs="Rubik Medium MG" w:eastAsia="Rubik Medium MG" w:hAnsi="Rubik Medium MG"/>
          <w:b w:val="false"/>
          <w:color w:val="B3261E"/>
          <w:sz w:val="24"/>
          <w:szCs w:val="24"/>
          <w:u w:val="single" w:color="B3261E"/>
          <w:rtl/>
        </w:rPr>
        <w:t xml:space="preserve"> שקלים </w:t>
      </w:r>
      <w:r>
        <w:rPr>
          <w:rFonts w:ascii="Rubik MG" w:cs="Rubik MG" w:eastAsia="Rubik MG" w:hAnsi="Rubik MG"/>
          <w:b w:val="false"/>
          <w:color w:val="2A1F28"/>
          <w:sz w:val="24"/>
          <w:szCs w:val="24"/>
          <w:rtl/>
        </w:rPr>
        <w:t xml:space="preserve">, ודבר שבקדושה אין אומרים בפחות מ</w:t>
      </w:r>
      <w:r>
        <w:rPr>
          <w:rFonts w:ascii="Rubik Medium MG" w:cs="Rubik Medium MG" w:eastAsia="Rubik Medium MG" w:hAnsi="Rubik Medium MG"/>
          <w:b w:val="false"/>
          <w:color w:val="B3261E"/>
          <w:sz w:val="24"/>
          <w:szCs w:val="24"/>
          <w:u w:val="single" w:color="B3261E"/>
          <w:rtl/>
        </w:rPr>
        <w:t xml:space="preserve"> עשרה </w:t>
      </w:r>
      <w:r>
        <w:rPr>
          <w:rFonts w:ascii="Rubik MG" w:cs="Rubik MG" w:eastAsia="Rubik MG" w:hAnsi="Rubik MG"/>
          <w:b w:val="false"/>
          <w:color w:val="2A1F28"/>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כ־1.5 נקודות לכל מילה (7 מילים, עיגול ל־10).</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0" w:before="120" w:line="300" w:lineRule="auto"/>
        <w:jc w:val="both"/>
      </w:pPr>
      <w:r>
        <w:rPr>
          <w:rFonts w:ascii="Rubik Bold MG" w:cs="Rubik Bold MG" w:eastAsia="Rubik Bold MG" w:hAnsi="Rubik Bold MG"/>
          <w:b w:val="false"/>
          <w:color w:val="1D6A66"/>
          <w:sz w:val="22"/>
          <w:szCs w:val="22"/>
          <w:rtl/>
        </w:rPr>
        <w:t xml:space="preserve">(10 נקודות)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חושבים לעומק: משרד החינוך מדגיש שמסכת מגילה עוסקת לא רק בפורים, אלא גם בקדושת בית הכנסת, בקריאת התורה וההפטרות ובספרים, תפילין ומזוזות. לדעתכם, מה הקשר בין קריאת המגילה לבין הנושאים האלה? מה המסכת מלמדת אותנו על קריאה בציבור ועל כבוד לדברים שבקדושה?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קריאת המגילה היא קריאה בציבור מתוך ספר כתוב – כמו קריאת התורה וההפטרה. המסכת מלמדת לקרוא בסדר, מתוך הכתב, בלשון שמבינים, בכוונה, במניין, ולכבד את בית הכנסת, את ספר התורה ואת הספרים. מחוון: זיהוי הקשר (קריאה בציבור / ספר כתוב / קדושה) – 4 נק'; שתי דוגמאות מהמסכת – 4 נק'; ניסוח ברור – 2 נק'.</w:t>
                  </w:r>
                </w:p>
              </w:tc>
            </w:tr>
          </w:tbl>
          <w:p>
            <w:pPr>
              <w:spacing w:after="0" w:before="0" w:line="20" w:lineRule="exact"/>
            </w:pPr>
            <w:r>
              <w:rPr>
                <w:rFonts w:ascii="Rubik MG" w:cs="Rubik MG" w:eastAsia="Rubik MG" w:hAnsi="Rubik MG"/>
                <w:b w:val="false"/>
                <w:color w:val="2A1F28"/>
                <w:sz w:val="4"/>
                <w:szCs w:val="4"/>
                <w:rtl/>
              </w:rPr>
              <w:t xml:space="preserve"> </w:t>
            </w:r>
          </w:p>
        </w:tc>
      </w:tr>
    </w:tbl>
    <w:p>
      <w:pPr>
        <w:sectPr>
          <w:headerReference w:type="default" r:id="rId8"/>
          <w:footerReference w:type="default" r:id="rId9"/>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2A1F28"/>
          <w:sz w:val="8"/>
          <w:szCs w:val="8"/>
          <w:rtl/>
        </w:rPr>
        <w:t xml:space="preserve"> </w:t>
      </w:r>
    </w:p>
    <w:p>
      <w:pPr>
        <w:keepNext w:val="false"/>
        <w:keepLines/>
        <w:bidi/>
        <w:spacing w:after="20" w:before="0" w:line="300" w:lineRule="auto"/>
        <w:jc w:val="center"/>
      </w:pPr>
      <w:r>
        <w:rPr>
          <w:rFonts w:ascii="Suez One" w:cs="Suez One" w:eastAsia="Suez One" w:hAnsi="Suez One"/>
          <w:b w:val="false"/>
          <w:color w:val="FFFFFF"/>
          <w:sz w:val="60"/>
          <w:szCs w:val="60"/>
          <w:rtl/>
        </w:rPr>
        <w:t xml:space="preserve">מסכת מגילה</w:t>
      </w:r>
    </w:p>
    <w:p>
      <w:pPr>
        <w:keepNext w:val="false"/>
        <w:keepLines/>
        <w:bidi/>
        <w:spacing w:after="60" w:before="0" w:line="300" w:lineRule="auto"/>
        <w:jc w:val="center"/>
      </w:pPr>
      <w:r>
        <w:rPr>
          <w:rFonts w:ascii="Rubik Medium MG" w:cs="Rubik Medium MG" w:eastAsia="Rubik Medium MG" w:hAnsi="Rubik Medium MG"/>
          <w:b w:val="false"/>
          <w:color w:val="F5CF8A"/>
          <w:sz w:val="26"/>
          <w:szCs w:val="26"/>
          <w:rtl/>
        </w:rPr>
        <w:t xml:space="preserve">כיתה ז' · מבחנים – מחוון</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בחוברת:</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לשון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מילון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תרשים כאמד"ט</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עיון בברטנורא</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המשנה בחיינו</w:t>
            </w:r>
          </w:p>
        </w:tc>
      </w:tr>
    </w:tbl>
    <w:p>
      <w:pPr>
        <w:spacing w:after="0" w:before="0" w:line="42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Frank Ruhl TB Bold" w:cs="Frank Ruhl TB Bold" w:eastAsia="Frank Ruhl TB Bold" w:hAnsi="Frank Ruhl TB Bold"/>
                <w:b w:val="false"/>
                <w:color w:val="5B2245"/>
                <w:sz w:val="38"/>
                <w:szCs w:val="38"/>
                <w:rtl/>
              </w:rPr>
              <w:t xml:space="preserve">הֲדְרָן עֲלָךְ מַסֶּכֶת מְגִלָּה</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וְהַדְרָךְ עֲלָן, דַּעְתָּן עֲלָךְ וְדַעְתָּךְ עֲלָן</w:t>
            </w:r>
          </w:p>
        </w:tc>
      </w:tr>
    </w:tbl>
    <w:sectPr>
      <w:headerReference w:type="default" r:id="rId10"/>
      <w:footerReference w:type="default" r:id="rId11"/>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3a4761c3-02b6-20e8-8a70-6b3b9ecb30b5}"/>
  </w:font>
  <w:font w:name="Suez One">
    <w:charset w:val="00"/>
    <w:family w:val="auto"/>
    <w:pitch w:val="variable"/>
    <w:sig w:usb0="E0002AFF" w:usb1="C000247B" w:usb2="00000009" w:usb3="00000000" w:csb0="000001FF" w:csb1="00000000"/>
    <w:embedRegular r:id="rId2" w:fontKey="{301129ac-f541-7c52-8d10-17ac45c096b6}"/>
  </w:font>
  <w:font w:name="Rubik Bold MG">
    <w:charset w:val="00"/>
    <w:family w:val="auto"/>
    <w:pitch w:val="variable"/>
    <w:sig w:usb0="E0002AFF" w:usb1="C000247B" w:usb2="00000009" w:usb3="00000000" w:csb0="000001FF" w:csb1="00000000"/>
    <w:embedRegular r:id="rId3" w:fontKey="{272b7ce5-34c2-e913-e45c-2f6d6ea47512}"/>
  </w:font>
  <w:font w:name="Rubik Medium MG">
    <w:charset w:val="00"/>
    <w:family w:val="auto"/>
    <w:pitch w:val="variable"/>
    <w:sig w:usb0="E0002AFF" w:usb1="C000247B" w:usb2="00000009" w:usb3="00000000" w:csb0="000001FF" w:csb1="00000000"/>
    <w:embedRegular r:id="rId4" w:fontKey="{df10f7e2-aabf-3b99-dd37-41c068902635}"/>
  </w:font>
  <w:font w:name="Frank Ruhl TB">
    <w:charset w:val="00"/>
    <w:family w:val="auto"/>
    <w:pitch w:val="variable"/>
    <w:sig w:usb0="E0002AFF" w:usb1="C000247B" w:usb2="00000009" w:usb3="00000000" w:csb0="000001FF" w:csb1="00000000"/>
    <w:embedRegular r:id="rId5" w:fontKey="{33939faa-a69c-47cd-7da6-2ab327c48aad}"/>
  </w:font>
  <w:font w:name="Frank Ruhl TB Bold">
    <w:charset w:val="00"/>
    <w:family w:val="auto"/>
    <w:pitch w:val="variable"/>
    <w:sig w:usb0="E0002AFF" w:usb1="C000247B" w:usb2="00000009" w:usb3="00000000" w:csb0="000001FF" w:csb1="00000000"/>
    <w:embedRegular r:id="rId6" w:fontKey="{38538c4e-42d1-4193-d131-518c2657e3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uez One" w:cs="Suez One" w:eastAsia="Suez One" w:hAnsi="Suez One"/>
        <w:b w:val="false"/>
        <w:color w:val="F5CF8A"/>
        <w:sz w:val="23"/>
        <w:szCs w:val="23"/>
        <w:rtl/>
      </w:rPr>
      <w:t xml:space="preserve">מסכת מגילה</w:t>
    </w:r>
    <w:r>
      <w:rPr>
        <w:rFonts w:ascii="Rubik MG" w:cs="Rubik MG" w:eastAsia="Rubik MG" w:hAnsi="Rubik MG"/>
        <w:b w:val="false"/>
        <w:color w:val="D6E0EE"/>
        <w:sz w:val="22"/>
        <w:szCs w:val="22"/>
        <w:rtl/>
      </w:rPr>
      <w:t xml:space="preserve">   ·   מבחנים – מחוון</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מבחנים – מחוון</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מחוון למורה</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2A1F28"/>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image" Target="media/983c6e60f424ea5bfadbb0c1033ab03008ff6c85.png"/><Relationship Id="rId13" Type="http://schemas.openxmlformats.org/officeDocument/2006/relationships/image" Target="media/2fea3d8dc662858d4460d284f6f5a04e8d1b37b4.png"/><Relationship Id="rId14" Type="http://schemas.openxmlformats.org/officeDocument/2006/relationships/image" Target="media/443a7023b8aff9e421c61b718f109458ae6c71d6.png"/><Relationship Id="rId15" Type="http://schemas.openxmlformats.org/officeDocument/2006/relationships/image" Target="media/74ad6ad806bbafdfb24a0832bd945d24c1ce4540.png"/><Relationship Id="rId16" Type="http://schemas.openxmlformats.org/officeDocument/2006/relationships/image" Target="media/5eaf52b9b26bf3e4a8f3b82af5d4a5597fa65e2f.png"/><Relationship Id="rId17" Type="http://schemas.openxmlformats.org/officeDocument/2006/relationships/image" Target="media/33436656f45836a125d98517f86a239747e5fd79.png"/><Relationship Id="rId18" Type="http://schemas.openxmlformats.org/officeDocument/2006/relationships/image" Target="media/04e1d107950a7b1d4767e168d1644ccfbe30cf4e.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c3d812622c0cdfa3380ba0eb64f9a72d7e12c0.jpg"/></Relationships>
</file>

<file path=word/_rels/header2.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3.xml.rels><?xml version="1.0" encoding="UTF-8"?><Relationships xmlns="http://schemas.openxmlformats.org/package/2006/relationships"><Relationship Id="rId0" Type="http://schemas.openxmlformats.org/officeDocument/2006/relationships/image" Target="media/d7a910f395dafe263fecea5025cf4e8a2bb6aab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מגילה – מבחנים – מחוון</dc:title>
  <cp:revision>1</cp:revision>
  <dcterms:created xsi:type="dcterms:W3CDTF">2026-10-23T04:25:55.414Z</dcterms:created>
  <dcterms:modified xsi:type="dcterms:W3CDTF">2026-10-23T04:25:55.414Z</dcterms:modified>
</cp:coreProperties>
</file>

<file path=docProps/custom.xml><?xml version="1.0" encoding="utf-8"?>
<Properties xmlns="http://schemas.openxmlformats.org/officeDocument/2006/custom-properties" xmlns:vt="http://schemas.openxmlformats.org/officeDocument/2006/docPropsVTypes"/>
</file>