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header+xml" PartName="/word/header3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90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FFFFFF"/>
          <w:sz w:val="30"/>
          <w:szCs w:val="30"/>
          <w:rtl/>
        </w:rPr>
        <w:t xml:space="preserve">משנה · חמ"ד</w:t>
      </w:r>
    </w:p>
    <w:p>
      <w:pPr>
        <w:keepNext w:val="false"/>
        <w:keepLines/>
        <w:bidi/>
        <w:spacing w:after="40" w:before="0" w:line="240" w:lineRule="auto"/>
        <w:jc w:val="center"/>
      </w:pPr>
      <w:r>
        <w:rPr>
          <w:rFonts w:ascii="Suez One" w:cs="Suez One" w:eastAsia="Suez One" w:hAnsi="Suez One"/>
          <w:b w:val="false"/>
          <w:color w:val="FFFFFF"/>
          <w:sz w:val="128"/>
          <w:szCs w:val="128"/>
          <w:rtl/>
        </w:rPr>
        <w:t xml:space="preserve">מסכת מגילה</w:t>
      </w:r>
    </w:p>
    <w:p>
      <w:pPr>
        <w:keepNext w:val="false"/>
        <w:bidi/>
        <w:spacing w:after="1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6DC"/>
          <w:sz w:val="34"/>
          <w:szCs w:val="34"/>
          <w:rtl/>
        </w:rPr>
        <w:t xml:space="preserve">כיתה ז' · דפי חזרה – מחוון</w:t>
      </w:r>
    </w:p>
    <w:p>
      <w:pPr>
        <w:spacing w:after="0" w:before="0" w:line="800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single" w:color="1D6A66" w:sz="6"/>
              <w:left w:val="thickThinLargeGap" w:color="1D6A66" w:sz="18"/>
              <w:bottom w:val="single" w:color="1D6A66" w:sz="6"/>
              <w:right w:val="thinThickLargeGap" w:color="1D6A66" w:sz="18"/>
            </w:tcBorders>
            <w:shd w:fill="FBF6EA" w:color="auto" w:val="clear"/>
            <w:tcMar>
              <w:top w:type="dxa" w:w="110"/>
              <w:left w:type="dxa" w:w="300"/>
              <w:bottom w:type="dxa" w:w="100"/>
              <w:right w:type="dxa" w:w="300"/>
            </w:tcMar>
          </w:tcPr>
          <w:p>
            <w:pPr>
              <w:keepNext w:val="false"/>
              <w:keepLines/>
              <w:bidi/>
              <w:spacing w:after="20" w:before="0" w:line="300" w:lineRule="auto"/>
              <w:jc w:val="center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4"/>
                <w:szCs w:val="34"/>
                <w:rtl/>
              </w:rPr>
              <w:t xml:space="preserve">לַיְּהוּדִים הָיְתָה אוֹרָה וְשִׂמְחָה וְשָׂשֹׂן וִיקָר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2"/>
                <w:szCs w:val="22"/>
                <w:rtl/>
              </w:rPr>
              <w:t xml:space="preserve">(אסתר ח, טז)</w:t>
            </w:r>
          </w:p>
        </w:tc>
      </w:tr>
    </w:tbl>
    <w:p>
      <w:pPr>
        <w:sectPr>
          <w:headerReference w:type="default" r:id="rId7"/>
          <w:pgSz w:w="11906" w:h="16838" w:orient="portrait"/>
          <w:pgMar w:top="700" w:right="1000" w:bottom="600" w:left="1000" w:header="300" w:footer="300" w:gutter="0"/>
          <w:pgNumType/>
          <w:docGrid w:linePitch="360"/>
        </w:sectPr>
      </w:pPr>
    </w:p>
    <w:p>
      <w:pPr>
        <w:keepNext/>
        <w:bidi/>
        <w:spacing w:after="60" w:before="0"/>
        <w:jc w:val="center"/>
      </w:pPr>
      <w:r>
        <w:rPr>
          <w:rFonts w:ascii="Suez One" w:cs="Suez One" w:eastAsia="Suez One" w:hAnsi="Suez One"/>
          <w:b w:val="false"/>
          <w:color w:val="5B2245"/>
          <w:sz w:val="41"/>
          <w:szCs w:val="41"/>
          <w:rtl/>
        </w:rPr>
        <w:t xml:space="preserve">פרק ראשון – מגילה נקראת · משניות א–יא</w:t>
      </w:r>
    </w:p>
    <w:p>
      <w:pPr>
        <w:keepNext w:val="false"/>
        <w:bidi/>
        <w:spacing w:after="20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QQS0QQ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4"/>
                <w:szCs w:val="24"/>
                <w:rtl/>
              </w:rPr>
              <w:t xml:space="preserve">פרק ראשון – מגילה נקראת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1"/>
                <w:szCs w:val="51"/>
                <w:rtl/>
              </w:rPr>
              <w:t xml:space="preserve">דף חזרה – פרק ראשון: מגילה נקראת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עיינו בכל משניות פרק א. ענו על השאלות בלי להסתכל במחברת – ואחר כך בדקו את עצמכם במשנה.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חלק א: מתי קוראים? (משניות א–ד)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השלימו את לוח הקריאה. בכל שורה – היום בשבוע שבו חל י"ד באדר.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477"/>
              <w:gridCol w:w="2477"/>
              <w:gridCol w:w="2477"/>
              <w:gridCol w:w="2475"/>
            </w:tblGrid>
            <w:tr>
              <w:trPr>
                <w:cantSplit/>
                <w:tblHeader/>
              </w:trPr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י"ד חל ביום...</w:t>
                  </w:r>
                </w:p>
              </w:tc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כפרים</w:t>
                  </w:r>
                </w:p>
              </w:tc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עיירות גדולות</w:t>
                  </w:r>
                </w:p>
              </w:tc>
              <w:tc>
                <w:tcPr>
                  <w:tcW w:type="dxa" w:w="24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כרכים מוקפים חומה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477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שלישי</w:t>
                  </w:r>
                </w:p>
              </w:tc>
              <w:tc>
                <w:tcPr>
                  <w:tcW w:type="dxa" w:w="2477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יום הכניסה – שני (י"ג) </w:t>
                  </w:r>
                </w:p>
              </w:tc>
              <w:tc>
                <w:tcPr>
                  <w:tcW w:type="dxa" w:w="2477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שלישי – י"ד </w:t>
                  </w:r>
                </w:p>
              </w:tc>
              <w:tc>
                <w:tcPr>
                  <w:tcW w:type="dxa" w:w="247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רביעי – ט"ו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477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חמישי</w:t>
                  </w:r>
                </w:p>
              </w:tc>
              <w:tc>
                <w:tcPr>
                  <w:tcW w:type="dxa" w:w="2477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חמישי – י"ד </w:t>
                  </w:r>
                </w:p>
              </w:tc>
              <w:tc>
                <w:tcPr>
                  <w:tcW w:type="dxa" w:w="2477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חמישי – י"ד </w:t>
                  </w:r>
                </w:p>
              </w:tc>
              <w:tc>
                <w:tcPr>
                  <w:tcW w:type="dxa" w:w="247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שישי – ט"ו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477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שישי (ערב שבת)</w:t>
                  </w:r>
                </w:p>
              </w:tc>
              <w:tc>
                <w:tcPr>
                  <w:tcW w:type="dxa" w:w="2477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יום הכניסה – חמישי (י"ג) </w:t>
                  </w:r>
                </w:p>
              </w:tc>
              <w:tc>
                <w:tcPr>
                  <w:tcW w:type="dxa" w:w="2477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שישי – י"ד </w:t>
                  </w:r>
                </w:p>
              </w:tc>
              <w:tc>
                <w:tcPr>
                  <w:tcW w:type="dxa" w:w="247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שישי – י"ד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477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שבת</w:t>
                  </w:r>
                </w:p>
              </w:tc>
              <w:tc>
                <w:tcPr>
                  <w:tcW w:type="dxa" w:w="2477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יום הכניסה – חמישי (י"ב) </w:t>
                  </w:r>
                </w:p>
              </w:tc>
              <w:tc>
                <w:tcPr>
                  <w:tcW w:type="dxa" w:w="2477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יום הכניסה – חמישי (י"ב) </w:t>
                  </w:r>
                </w:p>
              </w:tc>
              <w:tc>
                <w:tcPr>
                  <w:tcW w:type="dxa" w:w="247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ראשון – ט"ו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הסבירו בעזרת הלוח: מאיפה באים הימים י"א, י"ב ו־י"ג שבמשנה א?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הם הימים שבהם הכפרים (ובשבת גם העיירות) מקדימים ליום הכניסה – יום שני או חמישי שלפני י"ד.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עיר שיש בה תשעה בטלנים בלבד – האם היא «עיר גדולה» או «כפר»?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כפר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. כי עיר גדולה צריכה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עֲשָׂרָה בַּטְלָנִים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מיינו לפי משנה ג: מקדימין או מאחרין?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944"/>
              <w:gridCol w:w="3962"/>
            </w:tblGrid>
            <w:tr>
              <w:trPr>
                <w:cantSplit/>
                <w:tblHeader/>
              </w:trPr>
              <w:tc>
                <w:tcPr>
                  <w:tcW w:type="dxa" w:w="594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הדבר</w:t>
                  </w:r>
                </w:p>
              </w:tc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מקדימין / מאחרין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94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קריאת המגילה שחלה בשבת</w:t>
                  </w:r>
                </w:p>
              </w:tc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מקדימין ולא מאחרין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94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תשעה באב שחל בשבת</w:t>
                  </w:r>
                </w:p>
              </w:tc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מאחרין ולא מקדימין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94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חגיגה והקהל</w:t>
                  </w:r>
                </w:p>
              </w:tc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מאחרין ולא מקדימין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94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זמן עצי כהנים</w:t>
                  </w:r>
                </w:p>
              </w:tc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מאחרין ולא מקדימין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קראו את המגילה באדר ראשון, ואחר כך בית הדין עיבר את השנה. מה עושים?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קוראים אותה שוב באדר השני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חלק ב: «אֵין בֵּין... אֶלָּא...» (משניות ה–יא)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לפניכם מקרים. כתבו איזו השוואה מן הפרק עוזרת לפתור כל אחד, ומה הדין.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2972"/>
              <w:gridCol w:w="2972"/>
            </w:tblGrid>
            <w:tr>
              <w:trPr>
                <w:cantSplit/>
                <w:tblHeader/>
              </w:trP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המקרה</w:t>
                  </w:r>
                </w:p>
              </w:tc>
              <w:tc>
                <w:tcPr>
                  <w:tcW w:type="dxa" w:w="297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ההשוואה</w:t>
                  </w:r>
                </w:p>
              </w:tc>
              <w:tc>
                <w:tcPr>
                  <w:tcW w:type="dxa" w:w="297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הדין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ביום טוב רוצים לאפות עוגה לסעודת החג.</w:t>
                  </w:r>
                </w:p>
              </w:tc>
              <w:tc>
                <w:tcPr>
                  <w:tcW w:type="dxa" w:w="297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יום טוב ושבת </w:t>
                  </w:r>
                </w:p>
              </w:tc>
              <w:tc>
                <w:tcPr>
                  <w:tcW w:type="dxa" w:w="297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מותר – אוכל נפש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ראובן אמר «הֲרֵי עָלַי שְׁלָמִים», הפריש כבש והכבש ברח.</w:t>
                  </w:r>
                </w:p>
              </w:tc>
              <w:tc>
                <w:tcPr>
                  <w:tcW w:type="dxa" w:w="297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נדרים ונדבות </w:t>
                  </w:r>
                </w:p>
              </w:tc>
              <w:tc>
                <w:tcPr>
                  <w:tcW w:type="dxa" w:w="297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חייב להביא כבש אחר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מצורע מוסגר נרפא.</w:t>
                  </w:r>
                </w:p>
              </w:tc>
              <w:tc>
                <w:tcPr>
                  <w:tcW w:type="dxa" w:w="297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טהור מתוך הסגר וטהור מתוך החלט </w:t>
                  </w:r>
                </w:p>
              </w:tc>
              <w:tc>
                <w:tcPr>
                  <w:tcW w:type="dxa" w:w="297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אינו צריך תגלחת וציפורים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סופר שואל אם מותר לכתוב תפילין בכתב אחר.</w:t>
                  </w:r>
                </w:p>
              </w:tc>
              <w:tc>
                <w:tcPr>
                  <w:tcW w:type="dxa" w:w="297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ספרים ותפילין ומזוזות </w:t>
                  </w:r>
                </w:p>
              </w:tc>
              <w:tc>
                <w:tcPr>
                  <w:tcW w:type="dxa" w:w="297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אסור – רק אשורית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בימי שילה אדם אכל מעשר שני על גבעה שממנה רואים את שילה.</w:t>
                  </w:r>
                </w:p>
              </w:tc>
              <w:tc>
                <w:tcPr>
                  <w:tcW w:type="dxa" w:w="297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שילה וירושלים </w:t>
                  </w:r>
                </w:p>
              </w:tc>
              <w:tc>
                <w:tcPr>
                  <w:tcW w:type="dxa" w:w="297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מותר – בכל הרואה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מי קודם – מה חמור יותר?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בכל זוג הקיפו את הצד שיש בו דין נוסף (החמור יותר), וכתבו מהו הדין הנוסף.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972"/>
              <w:gridCol w:w="2972"/>
              <w:gridCol w:w="3962"/>
            </w:tblGrid>
            <w:tr>
              <w:trPr>
                <w:cantSplit/>
                <w:tblHeader/>
              </w:trPr>
              <w:tc>
                <w:tcPr>
                  <w:tcW w:type="dxa" w:w="297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צד א</w:t>
                  </w:r>
                </w:p>
              </w:tc>
              <w:tc>
                <w:tcPr>
                  <w:tcW w:type="dxa" w:w="297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צד ב</w:t>
                  </w:r>
                </w:p>
              </w:tc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הדין הנוסף – ולמי?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97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מודר הנאה</w:t>
                  </w:r>
                </w:p>
              </w:tc>
              <w:tc>
                <w:tcPr>
                  <w:tcW w:type="dxa" w:w="297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מודר מאכל</w:t>
                  </w:r>
                </w:p>
              </w:tc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מודר הנאה – אסור גם בדריסת הרגל ובכלים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97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כהן משוח</w:t>
                  </w:r>
                </w:p>
              </w:tc>
              <w:tc>
                <w:tcPr>
                  <w:tcW w:type="dxa" w:w="297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מרובה בגדים</w:t>
                  </w:r>
                </w:p>
              </w:tc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כהן משוח – מביא פר הבא על כל המצוות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97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במה גדולה</w:t>
                  </w:r>
                </w:p>
              </w:tc>
              <w:tc>
                <w:tcPr>
                  <w:tcW w:type="dxa" w:w="297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במה קטנה</w:t>
                  </w:r>
                </w:p>
              </w:tc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במה גדולה – מקריבים בה פסחים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97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מצורע מוסגר</w:t>
                  </w:r>
                </w:p>
              </w:tc>
              <w:tc>
                <w:tcPr>
                  <w:tcW w:type="dxa" w:w="297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מצורע מוחלט</w:t>
                  </w:r>
                </w:p>
              </w:tc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מצורע מוחלט – פריעה ופרימה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שאלת אתגר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משנה ד מתחילה את שרשרת «אֵין בֵּין», ומשנה יא מסיימת אותה. מה הקשר בין ההשוואה הראשונה (אדר ראשון ואדר שני) להשוואה האחרונה (שילה וירושלים)? נסו למצוא דבר משותף.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פתוחה. למשל: בשתיהן יש «קודם» ו«אחר כך» – אדר ראשון בא לפני אדר שני, ושילה באה לפני ירושלים; ובשתיהן הדבר המאוחר הוא העיקרי (קוראים את המגילה באדר השני, וקדושת ירושלים קיימת לעולם).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/>
        <w:bidi/>
        <w:spacing w:after="60" w:before="500"/>
        <w:jc w:val="center"/>
      </w:pPr>
      <w:r>
        <w:rPr>
          <w:rFonts w:ascii="Suez One" w:cs="Suez One" w:eastAsia="Suez One" w:hAnsi="Suez One"/>
          <w:b w:val="false"/>
          <w:color w:val="5B2245"/>
          <w:sz w:val="41"/>
          <w:szCs w:val="41"/>
          <w:rtl/>
        </w:rPr>
        <w:t xml:space="preserve">פרק שני – הקורא למפרע · משניות א–ו</w:t>
      </w:r>
    </w:p>
    <w:p>
      <w:pPr>
        <w:keepNext w:val="false"/>
        <w:bidi/>
        <w:spacing w:after="20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QQS1QQ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4"/>
                <w:szCs w:val="24"/>
                <w:rtl/>
              </w:rPr>
              <w:t xml:space="preserve">פרק שני – הקורא למפרע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1"/>
                <w:szCs w:val="51"/>
                <w:rtl/>
              </w:rPr>
              <w:t xml:space="preserve">דף חזרה – פרק שני: הקורא למפרע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לפניכם משימות על כל פרק «הקורא למפרע» (משניות א–ו). היעזרו במשנה ובברטנורא.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משימה 1 – מה הדין? הכריעו והסבירו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238"/>
                    <w:gridCol w:w="3715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המקרה</w:t>
                        </w:r>
                      </w:p>
                    </w:tc>
                    <w:tc>
                      <w:tcPr>
                        <w:tcW w:type="dxa" w:w="123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הדין</w:t>
                        </w:r>
                      </w:p>
                    </w:tc>
                    <w:tc>
                      <w:tcPr>
                        <w:tcW w:type="dxa" w:w="3715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הנימוק מן המשנה או מן הברטנורא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חזן קרא את המגילה מתוך מגילה שכתובה בצבע שעשוי מאבן אדומה.</w:t>
                        </w:r>
                      </w:p>
                    </w:tc>
                    <w:tc>
                      <w:tcPr>
                        <w:tcW w:type="dxa" w:w="1238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לא יצאו </w:t>
                        </w:r>
                      </w:p>
                    </w:tc>
                    <w:tc>
                      <w:tcPr>
                        <w:tcW w:type="dxa" w:w="3715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«בְּסִקְרָא... לֹא יָצָא» – סקרא: אבן שצובעים בה אדום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אדם קרא את פרק ט' של המגילה, ואחר כך את פרקים א'–ח'.</w:t>
                        </w:r>
                      </w:p>
                    </w:tc>
                    <w:tc>
                      <w:tcPr>
                        <w:tcW w:type="dxa" w:w="1238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לא יצא </w:t>
                        </w:r>
                      </w:p>
                    </w:tc>
                    <w:tc>
                      <w:tcPr>
                        <w:tcW w:type="dxa" w:w="3715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קרא למפרע; «נזכרים ונעשים» – כמו שאי אפשר ט"ו לפני י"ד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בפורים, בשעת צהריים, נזכר אדם שעוד לא שמע מגילה ביום.</w:t>
                        </w:r>
                      </w:p>
                    </w:tc>
                    <w:tc>
                      <w:tcPr>
                        <w:tcW w:type="dxa" w:w="1238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יכול לקרוא עכשיו </w:t>
                        </w:r>
                      </w:p>
                    </w:tc>
                    <w:tc>
                      <w:tcPr>
                        <w:tcW w:type="dxa" w:w="3715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«כָּל הַיּוֹם כָּשֵׁר לִקְרִיאַת הַמְּגִלָּה»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ילד בן 10 קרא מגילה כשרה לפני הציבור.</w:t>
                        </w:r>
                      </w:p>
                    </w:tc>
                    <w:tc>
                      <w:tcPr>
                        <w:tcW w:type="dxa" w:w="1238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לא יצאו </w:t>
                        </w:r>
                      </w:p>
                    </w:tc>
                    <w:tc>
                      <w:tcPr>
                        <w:tcW w:type="dxa" w:w="3715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קטן אינו כשר; רבי יהודה מכשיר – ואין הלכה כמותו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אדם שמע את המגילה רק מ«אִישׁ יְהוּדִי» ואילך.</w:t>
                        </w:r>
                      </w:p>
                    </w:tc>
                    <w:tc>
                      <w:tcPr>
                        <w:tcW w:type="dxa" w:w="1238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לא יצא </w:t>
                        </w:r>
                      </w:p>
                    </w:tc>
                    <w:tc>
                      <w:tcPr>
                        <w:tcW w:type="dxa" w:w="3715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הלכה כרבי מאיר – כולה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משימה 2 – מצאו את הפסוק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הברטנורא מביא בפרק הזה כמה פסוקים כמקור לדינים. התאימו כל פסוק לדין שנלמד ממנו.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3"/>
                <w:szCs w:val="23"/>
                <w:rtl/>
              </w:rPr>
              <w:t xml:space="preserve">הפסוק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3"/>
                <w:szCs w:val="23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3"/>
                <w:szCs w:val="23"/>
                <w:rtl/>
              </w:rPr>
              <w:t xml:space="preserve">הדין שנלמד ממנו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25"/>
                <w:szCs w:val="25"/>
                <w:rtl/>
              </w:rPr>
              <w:t xml:space="preserve">«וְהַיָּמִים הָאֵלֶּה נִזְכָּרִים וְנַעֲשִׂים»</w:t>
            </w:r>
            <w:r>
              <w:rPr>
                <w:rFonts w:ascii="Rubik MG" w:cs="Rubik MG" w:eastAsia="Rubik MG" w:hAnsi="Rubik MG"/>
                <w:b w:val="false"/>
                <w:color w:val="D08A2E"/>
                <w:sz w:val="23"/>
                <w:szCs w:val="23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3"/>
                <w:szCs w:val="23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23"/>
                <w:szCs w:val="23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3"/>
                <w:szCs w:val="23"/>
                <w:rtl/>
              </w:rPr>
              <w:t xml:space="preserve">הקטר חלבים ואברים כשר כל הלילה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25"/>
                <w:szCs w:val="25"/>
                <w:rtl/>
              </w:rPr>
              <w:t xml:space="preserve">«כְּתֹב זֹאת זִכָּרוֹן בַּסֵּפֶר»</w:t>
            </w:r>
            <w:r>
              <w:rPr>
                <w:rFonts w:ascii="Rubik MG" w:cs="Rubik MG" w:eastAsia="Rubik MG" w:hAnsi="Rubik MG"/>
                <w:b w:val="false"/>
                <w:color w:val="D08A2E"/>
                <w:sz w:val="23"/>
                <w:szCs w:val="23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3"/>
                <w:szCs w:val="23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23"/>
                <w:szCs w:val="23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3"/>
                <w:szCs w:val="23"/>
                <w:rtl/>
              </w:rPr>
              <w:t xml:space="preserve">מילה רק ביום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25"/>
                <w:szCs w:val="25"/>
                <w:rtl/>
              </w:rPr>
              <w:t xml:space="preserve">«וּבַיּוֹם הַשְּׁמִינִי יִמּוֹל»</w:t>
            </w:r>
            <w:r>
              <w:rPr>
                <w:rFonts w:ascii="Rubik MG" w:cs="Rubik MG" w:eastAsia="Rubik MG" w:hAnsi="Rubik MG"/>
                <w:b w:val="false"/>
                <w:color w:val="D08A2E"/>
                <w:sz w:val="23"/>
                <w:szCs w:val="23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3"/>
                <w:szCs w:val="23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23"/>
                <w:szCs w:val="23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3"/>
                <w:szCs w:val="23"/>
                <w:rtl/>
              </w:rPr>
              <w:t xml:space="preserve">לא קוראים את המגילה למפרע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25"/>
                <w:szCs w:val="25"/>
                <w:rtl/>
              </w:rPr>
              <w:t xml:space="preserve">«עַל מוֹקְדָה עַל הַמִּזְבֵּחַ כָּל הַלַּיְלָה»</w:t>
            </w:r>
            <w:r>
              <w:rPr>
                <w:rFonts w:ascii="Rubik MG" w:cs="Rubik MG" w:eastAsia="Rubik MG" w:hAnsi="Rubik MG"/>
                <w:b w:val="false"/>
                <w:color w:val="D08A2E"/>
                <w:sz w:val="23"/>
                <w:szCs w:val="23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3"/>
                <w:szCs w:val="23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23"/>
                <w:szCs w:val="23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3"/>
                <w:szCs w:val="23"/>
                <w:rtl/>
              </w:rPr>
              <w:t xml:space="preserve">לא קוראים את המגילה על פה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«והימים האלה נזכרים ונעשים» – לא קוראים למפרע · «כתב זאת זכרון בספר» – לא קוראים על פה · «וביום השמיני ימול» – מילה רק ביום · «על מוקדה על המזבח כל הלילה» – הקטר חלבים ואברים כל הלילה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משימה 3 – עמוד השחר והנץ החמה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הברטנורא מביא פסוק מספר נחמיה: «מעלות השחר ועד צאת הכוכבים». מה הוא מוכיח ממנו?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שמשעה שעלה עמוד השחר כבר נקרא «יום», ולכן מי שעשה מעמוד השחר – כשר.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אם עמוד השחר כבר נחשב יום, למה אמרה המשנה «עד שתנץ החמה»? (היעזרו בסוף דברי הברטנורא על משנה ד)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כדי לצאת מספק לילה – לא כל האנשים יודעים לזהות בדיוק מתי עלה עמוד השחר, ולכן לכתחילה מחכים להנץ החמה שקל לראות.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משימה 4 – כאמד"ט על משנה 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201"/>
                    <w:gridCol w:w="1101"/>
                    <w:gridCol w:w="2201"/>
                    <w:gridCol w:w="2201"/>
                    <w:gridCol w:w="2202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220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כותרת</w:t>
                        </w:r>
                      </w:p>
                    </w:tc>
                    <w:tc>
                      <w:tcPr>
                        <w:tcW w:type="dxa" w:w="110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אומר</w:t>
                        </w:r>
                      </w:p>
                    </w:tc>
                    <w:tc>
                      <w:tcPr>
                        <w:tcW w:type="dxa" w:w="220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מקרה</w:t>
                        </w:r>
                      </w:p>
                    </w:tc>
                    <w:tc>
                      <w:tcPr>
                        <w:tcW w:type="dxa" w:w="220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דין</w:t>
                        </w:r>
                      </w:p>
                    </w:tc>
                    <w:tc>
                      <w:tcPr>
                        <w:tcW w:type="dxa" w:w="220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טעם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220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מצוות הלילה וזה הכלל </w:t>
                        </w:r>
                      </w:p>
                    </w:tc>
                    <w:tc>
                      <w:tcPr>
                        <w:tcW w:type="dxa" w:w="110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סתם משנה </w:t>
                        </w:r>
                      </w:p>
                    </w:tc>
                    <w:tc>
                      <w:tcPr>
                        <w:tcW w:type="dxa" w:w="220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קצירת העומר, הקטר חלבים ואברים </w:t>
                        </w:r>
                      </w:p>
                    </w:tc>
                    <w:tc>
                      <w:tcPr>
                        <w:tcW w:type="dxa" w:w="220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כשר כל הלילה </w:t>
                        </w:r>
                      </w:p>
                    </w:tc>
                    <w:tc>
                      <w:tcPr>
                        <w:tcW w:type="dxa" w:w="220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מצוותם בלילה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220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10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סתם משנה </w:t>
                        </w:r>
                      </w:p>
                    </w:tc>
                    <w:tc>
                      <w:tcPr>
                        <w:tcW w:type="dxa" w:w="220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דבר שמצוותו ביום </w:t>
                        </w:r>
                      </w:p>
                    </w:tc>
                    <w:tc>
                      <w:tcPr>
                        <w:tcW w:type="dxa" w:w="220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כשר כל היום </w:t>
                        </w:r>
                      </w:p>
                    </w:tc>
                    <w:tc>
                      <w:tcPr>
                        <w:tcW w:type="dxa" w:w="220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זה הכלל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/>
        <w:bidi/>
        <w:spacing w:after="60" w:before="500"/>
        <w:jc w:val="center"/>
      </w:pPr>
      <w:r>
        <w:rPr>
          <w:rFonts w:ascii="Suez One" w:cs="Suez One" w:eastAsia="Suez One" w:hAnsi="Suez One"/>
          <w:b w:val="false"/>
          <w:color w:val="5B2245"/>
          <w:sz w:val="41"/>
          <w:szCs w:val="41"/>
          <w:rtl/>
        </w:rPr>
        <w:t xml:space="preserve">פרק שלישי – בני העיר · משניות א–ו</w:t>
      </w:r>
    </w:p>
    <w:p>
      <w:pPr>
        <w:keepNext w:val="false"/>
        <w:bidi/>
        <w:spacing w:after="20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QQS2QQ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4"/>
                <w:szCs w:val="24"/>
                <w:rtl/>
              </w:rPr>
              <w:t xml:space="preserve">פרק שלישי – בני העיר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1"/>
                <w:szCs w:val="51"/>
                <w:rtl/>
              </w:rPr>
              <w:t xml:space="preserve">דף חזרה – פרק שלישי: בני העיר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עיינו בפרק ג משניות א–ו.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תחנה 1: סולם הקדושה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ועד בית הכנסת מכר תבה ישנה ב־5,000 ש"ח. קנו בהם מטפחות ב־3,000 ש"ח. מה מותר לקנות ב־2,000 ש"ח הנותרים: א) ספסלים לבית הכנסת; ב) עוד מטפחות; ג) ספר נביאים; ד) פרוכת לתבה?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מותר: עוד מטפחות או ספר נביאים (וכן במותריהן – גם בכסף הנותר אין קונים דבר שקדושתו פחותה, וספסלים או פרוכת לתבה פחותים בקדושה). אסור: ספסלים ופרוכת לתבה – דרגה נמוכה יותר. (הברטנורא: אם שבעה טובי העיר מכרו במעמד אנשי העיר – מותר לכל דבר.)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ההבדל בין דעת רבי מאיר לדעת חכמים במכירת בית כנסת? כתבו גם כיצד נפסקה ההלכה.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רבי מאיר: רק על תנאי שיוכלו להחזירו, כי מכירה גמורה היא בזיון. חכמים: ממכר עולם, חוץ מארבעה דברים מבזים. ההלכה אינה כרבי מאיר (וגם לא כרבי יהודה).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תחנה 2: בית כנסת שחרב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כתבו שלושה דברים שאסור לעשות בבית כנסת שחרב, ואת המקור לכך.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למשל: אין מספידין בתוכו, אין שוטחין על גגו פירות, אין עושין אותו קפנדריא. המקור: «והשמותי את מקדשיכם» – קדושתן אף כשהן שוממין.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אורח שאל: «אם המקום כבר חרב, מה זה משנה אם העשבים נשארים?» ענו לו לפי המשנה והברטנורא.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העשבים מזכירים לנו את החורבן ומעוררים צער (עגמת נפש), וכך נשים לב לבנות את בית הכנסת מחדש או נתפלל שיחזור להיבנות.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תחנה 3: ארבע פרשיות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השלימו: באיזו שבת קוראים כל פרשה?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5944"/>
            </w:tblGrid>
            <w:tr>
              <w:trPr>
                <w:cantSplit/>
                <w:tblHeader/>
              </w:trP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הפרשה</w:t>
                  </w:r>
                </w:p>
              </w:tc>
              <w:tc>
                <w:tcPr>
                  <w:tcW w:type="dxa" w:w="594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מתי?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פרה אדומה</w:t>
                  </w:r>
                </w:p>
              </w:tc>
              <w:tc>
                <w:tcPr>
                  <w:tcW w:type="dxa" w:w="594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בשבת הסמוכה לפורים מאחריה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שקלים</w:t>
                  </w:r>
                </w:p>
              </w:tc>
              <w:tc>
                <w:tcPr>
                  <w:tcW w:type="dxa" w:w="594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בשבת ראש חודש אדר או בשבת שלפניו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החדש הזה לכם</w:t>
                  </w:r>
                </w:p>
              </w:tc>
              <w:tc>
                <w:tcPr>
                  <w:tcW w:type="dxa" w:w="594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בשבת שלפני ראש חודש ניסן או בו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זכור</w:t>
                  </w:r>
                </w:p>
              </w:tc>
              <w:tc>
                <w:tcPr>
                  <w:tcW w:type="dxa" w:w="594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בשבת הסמוכה לפורים מלפניה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פירוש «לכל מפסיקין» לפי הברטנורא? תנו שתי דוגמאות לימים כאלה מן המשנה.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מפטירין מעין המאורע ולא מעין הפרשה. דוגמאות: ראשי חודשים, חנוכה, פורים, תעניות, מעמדות, יום הכיפורים.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תחנה 4: קריאה במועדים</w:t>
                  </w:r>
                </w:p>
              </w:tc>
            </w:tr>
          </w:tbl>
          <w:p>
            <w:pPr>
              <w:keepLines/>
              <w:bidi/>
              <w:spacing w:after="90" w:before="40" w:line="300"/>
              <w:ind w:start="420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מה קוראים בשבועות? 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23"/>
                <w:szCs w:val="23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1D6A66"/>
                <w:sz w:val="24"/>
                <w:szCs w:val="24"/>
                <w:rtl/>
              </w:rPr>
              <w:t xml:space="preserve">אחרי מות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     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23"/>
                <w:szCs w:val="23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1D6A66"/>
                <w:sz w:val="24"/>
                <w:szCs w:val="24"/>
                <w:rtl/>
              </w:rPr>
              <w:t xml:space="preserve">שבעה שבועות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     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23"/>
                <w:szCs w:val="23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1D6A66"/>
                <w:sz w:val="24"/>
                <w:szCs w:val="24"/>
                <w:rtl/>
              </w:rPr>
              <w:t xml:space="preserve">ויבא עמלק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     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23"/>
                <w:szCs w:val="23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1D6A66"/>
                <w:sz w:val="24"/>
                <w:szCs w:val="24"/>
                <w:rtl/>
              </w:rPr>
              <w:t xml:space="preserve">הנשיאים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שבעה שבועות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קוראים בחול המועד סוכות?   </w:t>
      </w:r>
      <w:r>
        <w:rPr>
          <w:rFonts w:ascii="Rubik MG" w:cs="Rubik MG" w:eastAsia="Rubik MG" w:hAnsi="Rubik MG"/>
          <w:b w:val="false"/>
          <w:color w:val="D08A2E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1D6A66"/>
          <w:sz w:val="24"/>
          <w:szCs w:val="24"/>
          <w:rtl/>
        </w:rPr>
        <w:t xml:space="preserve">פרשת מועדות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D08A2E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1D6A66"/>
          <w:sz w:val="24"/>
          <w:szCs w:val="24"/>
          <w:rtl/>
        </w:rPr>
        <w:t xml:space="preserve">ברכות וקללות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D08A2E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1D6A66"/>
          <w:sz w:val="24"/>
          <w:szCs w:val="24"/>
          <w:rtl/>
        </w:rPr>
        <w:t xml:space="preserve">קרבנות החג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D08A2E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1D6A66"/>
          <w:sz w:val="24"/>
          <w:szCs w:val="24"/>
          <w:rtl/>
        </w:rPr>
        <w:t xml:space="preserve">מעשה בראשית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קרבנות החג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הכלל שנלמד מן הפסוק «וידבר משה את מעדי ה' אל בני ישראל»?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מצוה לקרוא בכל מועד מענין המועד – כל אחד ואחד בזמנו.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אתגר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מצאו בפרק שני מקומות שבהם יש דבר «מיוחד» לפורים (רמז: משנה ד ומשנה ו).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משנה ד: פרשת זכור נקראת סמוך לפורים (לסמוך מחיית עמלק למחיית המן). משנה ו: בפורים קוראים «ויבא עמלק».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/>
        <w:bidi/>
        <w:spacing w:after="60" w:before="500"/>
        <w:jc w:val="center"/>
      </w:pPr>
      <w:r>
        <w:rPr>
          <w:rFonts w:ascii="Suez One" w:cs="Suez One" w:eastAsia="Suez One" w:hAnsi="Suez One"/>
          <w:b w:val="false"/>
          <w:color w:val="5B2245"/>
          <w:sz w:val="41"/>
          <w:szCs w:val="41"/>
          <w:rtl/>
        </w:rPr>
        <w:t xml:space="preserve">פרק רביעי – הקורא עומד · משניות א–י</w:t>
      </w:r>
    </w:p>
    <w:p>
      <w:pPr>
        <w:keepNext w:val="false"/>
        <w:bidi/>
        <w:spacing w:after="20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QQS3QQ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4"/>
                <w:szCs w:val="24"/>
                <w:rtl/>
              </w:rPr>
              <w:t xml:space="preserve">פרק רביעי – הקורא עומד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1"/>
                <w:szCs w:val="51"/>
                <w:rtl/>
              </w:rPr>
              <w:t xml:space="preserve">דף חזרה – פרק רביעי: הקורא עומד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דף חזרה על פרק ד. עיינו במשניות ובברטנורא לפי הצורך.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משנה בשורה אחת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כתבו במשפט קצר את הנושא של כל זוג משניות.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981"/>
              <w:gridCol w:w="7925"/>
            </w:tblGrid>
            <w:tr>
              <w:trPr>
                <w:cantSplit/>
                <w:tblHeader/>
              </w:trPr>
              <w:tc>
                <w:tcPr>
                  <w:tcW w:type="dxa" w:w="198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משניות</w:t>
                  </w:r>
                </w:p>
              </w:tc>
              <w:tc>
                <w:tcPr>
                  <w:tcW w:type="dxa" w:w="792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הנושא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98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א–ב</w:t>
                  </w:r>
                </w:p>
              </w:tc>
              <w:tc>
                <w:tcPr>
                  <w:tcW w:type="dxa" w:w="792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קריאת המגילה ומספר העולים לתורה בכל יום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98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ג–ד</w:t>
                  </w:r>
                </w:p>
              </w:tc>
              <w:tc>
                <w:tcPr>
                  <w:tcW w:type="dxa" w:w="792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דברים שבקדושה בעשרה; פסוקים, תרגום ודילוג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98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ה–ו</w:t>
                  </w:r>
                </w:p>
              </w:tc>
              <w:tc>
                <w:tcPr>
                  <w:tcW w:type="dxa" w:w="792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כבוד המפטיר; מה מותר לקטן, לפוחח ולסומא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98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ז–ח</w:t>
                  </w:r>
                </w:p>
              </w:tc>
              <w:tc>
                <w:tcPr>
                  <w:tcW w:type="dxa" w:w="792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כהן שאינו נושא כפיו; שליח ציבור ותפילין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98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ט–י</w:t>
                  </w:r>
                </w:p>
              </w:tc>
              <w:tc>
                <w:tcPr>
                  <w:tcW w:type="dxa" w:w="792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נוסחים שמשתקים; פרשיות שאין מתרגמים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מספרים בפרק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מה מתאים לכל מספר? כתבו לפי הפרק.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981"/>
              <w:gridCol w:w="7925"/>
            </w:tblGrid>
            <w:tr>
              <w:trPr>
                <w:cantSplit/>
                <w:tblHeader/>
              </w:trPr>
              <w:tc>
                <w:tcPr>
                  <w:tcW w:type="dxa" w:w="198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המספר</w:t>
                  </w:r>
                </w:p>
              </w:tc>
              <w:tc>
                <w:tcPr>
                  <w:tcW w:type="dxa" w:w="792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על מה מדובר?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98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1</w:t>
                  </w:r>
                </w:p>
              </w:tc>
              <w:tc>
                <w:tcPr>
                  <w:tcW w:type="dxa" w:w="792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פסוק אחד – קורא למתרגם בתורה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98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3</w:t>
                  </w:r>
                </w:p>
              </w:tc>
              <w:tc>
                <w:tcPr>
                  <w:tcW w:type="dxa" w:w="792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עולים בשני ובחמישי ובשבת במנחה / לא פחות משלשה פסוקים / שלשה פסוקים בנביא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98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6</w:t>
                  </w:r>
                </w:p>
              </w:tc>
              <w:tc>
                <w:tcPr>
                  <w:tcW w:type="dxa" w:w="792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עולים ביום הכיפורים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98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9 + כהן</w:t>
                  </w:r>
                </w:p>
              </w:tc>
              <w:tc>
                <w:tcPr>
                  <w:tcW w:type="dxa" w:w="792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פדיון קרקעות של הקדש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98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10</w:t>
                  </w:r>
                </w:p>
              </w:tc>
              <w:tc>
                <w:tcPr>
                  <w:tcW w:type="dxa" w:w="792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דבר שבקדושה – לא בפחות מעשרה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בחרו את התשובה הנכונה</w:t>
                  </w:r>
                </w:p>
              </w:tc>
            </w:tr>
          </w:tbl>
          <w:p>
            <w:pPr>
              <w:keepLines/>
              <w:bidi/>
              <w:spacing w:after="90" w:before="40" w:line="300"/>
              <w:ind w:start="420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מי שקורא את המגילה: 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23"/>
                <w:szCs w:val="23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1D6A66"/>
                <w:sz w:val="24"/>
                <w:szCs w:val="24"/>
                <w:rtl/>
              </w:rPr>
              <w:t xml:space="preserve">חייב לעמוד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     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23"/>
                <w:szCs w:val="23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1D6A66"/>
                <w:sz w:val="24"/>
                <w:szCs w:val="24"/>
                <w:rtl/>
              </w:rPr>
              <w:t xml:space="preserve">חייב לשבת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     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23"/>
                <w:szCs w:val="23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1D6A66"/>
                <w:sz w:val="24"/>
                <w:szCs w:val="24"/>
                <w:rtl/>
              </w:rPr>
              <w:t xml:space="preserve">רשאי לעמוד ורשאי לשבת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     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23"/>
                <w:szCs w:val="23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1D6A66"/>
                <w:sz w:val="24"/>
                <w:szCs w:val="24"/>
                <w:rtl/>
              </w:rPr>
              <w:t xml:space="preserve">קורא רק בשכיבה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רשאי לעמוד ורשאי לשבת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מתי מפטירין בנביא?   </w:t>
      </w:r>
      <w:r>
        <w:rPr>
          <w:rFonts w:ascii="Rubik MG" w:cs="Rubik MG" w:eastAsia="Rubik MG" w:hAnsi="Rubik MG"/>
          <w:b w:val="false"/>
          <w:color w:val="D08A2E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1D6A66"/>
          <w:sz w:val="24"/>
          <w:szCs w:val="24"/>
          <w:rtl/>
        </w:rPr>
        <w:t xml:space="preserve">בשני ובחמישי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D08A2E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1D6A66"/>
          <w:sz w:val="24"/>
          <w:szCs w:val="24"/>
          <w:rtl/>
        </w:rPr>
        <w:t xml:space="preserve">בראש חודש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D08A2E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1D6A66"/>
          <w:sz w:val="24"/>
          <w:szCs w:val="24"/>
          <w:rtl/>
        </w:rPr>
        <w:t xml:space="preserve">בחול המועד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D08A2E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1D6A66"/>
          <w:sz w:val="24"/>
          <w:szCs w:val="24"/>
          <w:rtl/>
        </w:rPr>
        <w:t xml:space="preserve">ביום טוב ובשבת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ביום טוב ובשבת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למה קטן אינו פורס על שמע? (ברטנורא)   </w:t>
      </w:r>
      <w:r>
        <w:rPr>
          <w:rFonts w:ascii="Rubik MG" w:cs="Rubik MG" w:eastAsia="Rubik MG" w:hAnsi="Rubik MG"/>
          <w:b w:val="false"/>
          <w:color w:val="D08A2E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1D6A66"/>
          <w:sz w:val="24"/>
          <w:szCs w:val="24"/>
          <w:rtl/>
        </w:rPr>
        <w:t xml:space="preserve">כי אינו חייב בדבר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D08A2E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1D6A66"/>
          <w:sz w:val="24"/>
          <w:szCs w:val="24"/>
          <w:rtl/>
        </w:rPr>
        <w:t xml:space="preserve">מפני כבוד התורה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D08A2E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1D6A66"/>
          <w:sz w:val="24"/>
          <w:szCs w:val="24"/>
          <w:rtl/>
        </w:rPr>
        <w:t xml:space="preserve">כי אינו רואה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D08A2E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1D6A66"/>
          <w:sz w:val="24"/>
          <w:szCs w:val="24"/>
          <w:rtl/>
        </w:rPr>
        <w:t xml:space="preserve">כי הוא כהן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כי אינו חייב בדבר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הדין בתפילין מצופות זהב?   </w:t>
      </w:r>
      <w:r>
        <w:rPr>
          <w:rFonts w:ascii="Rubik MG" w:cs="Rubik MG" w:eastAsia="Rubik MG" w:hAnsi="Rubik MG"/>
          <w:b w:val="false"/>
          <w:color w:val="D08A2E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1D6A66"/>
          <w:sz w:val="24"/>
          <w:szCs w:val="24"/>
          <w:rtl/>
        </w:rPr>
        <w:t xml:space="preserve">הידור מצוה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D08A2E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1D6A66"/>
          <w:sz w:val="24"/>
          <w:szCs w:val="24"/>
          <w:rtl/>
        </w:rPr>
        <w:t xml:space="preserve">דרך החיצונים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D08A2E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1D6A66"/>
          <w:sz w:val="24"/>
          <w:szCs w:val="24"/>
          <w:rtl/>
        </w:rPr>
        <w:t xml:space="preserve">סכנה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D08A2E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1D6A66"/>
          <w:sz w:val="24"/>
          <w:szCs w:val="24"/>
          <w:rtl/>
        </w:rPr>
        <w:t xml:space="preserve">מותר רק בשבת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דרך החיצונים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טעם לכל דין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למה לא מוסיפים עולים בשני ובחמישי?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שלא יקשה לציבור – ימי מלאכה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למה בתורה קוראים למתרגם פסוק אחד בלבד?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שלא יטעה המתרגם, שמתרגם על פה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למה המפטיר עובר לפני התיבה?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לכבודו, כי הסכים להפטיר – דבר שאינו כבודו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למה כהן עם מום בידיו אינו נושא כפיו?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מפני שהעם מסתכלין בו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למה משתקין את האומר «ועל טוב יזכר שמך»?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חייבים לברך על הרעה כשם שמברכין על הטובה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חושבים לעומק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בפרק חוזרים שוב ושוב שני ערכים: «כבוד הציבור» ו«כבוד התורה». בחרו שני דינים מן הפרק והראו בכל אחד איזה ערך הוא שומר.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למשל: אין מדלגין יותר מדי – «אין כבוד לצבור לעמוד שם בשתיקה»; פוחח אינו קורא בתורה – «מפני כבוד התורה»; אין מוסיפים בימי חול – שלא יקשה לציבור.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חידון מסכם – מסכת מגילה כולה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באיזה תאריך קוראים את המגילה בכרכים המוקפים חומה מימות יהושע בן נון?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בחמשה עשר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השלימו: אין בין יום טוב לשבת, אלא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אכל נפש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 בלבד.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9.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ספרים נכתבים בכל לשון. ותפילין ומזוזות?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אינן נכתבות אלא אשורית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10.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הקורא את המגילה למפרע –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לא יצא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11.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מי אינו כשר לקרוא את המגילה לפי תנא קמא?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חרש, שוטה וקטן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12.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כתבו את ארבע הפרשיות לפי הסדר: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שקלים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,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זכור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,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פרה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,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החדש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13.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בית הכנסת שחרב – האם מותר לעשות אותו קפנדריא (קיצור דרך)?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לא – «קדשתן אף כשהן שוממין»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D08A2E" w:sz="24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4"/>
                      <w:szCs w:val="24"/>
                      <w:rtl/>
                    </w:rPr>
                    <w:t xml:space="preserve">  במשפט אחד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סיימנו את המסכת: ממועדי פורים, דרך דיני שבת וספרים, קדושת בית הכנסת – ועד סדר קריאת התורה.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D08A2E" w:sz="8"/>
              <w:left w:val="single" w:color="D08A2E" w:sz="8"/>
              <w:bottom w:val="single" w:color="D08A2E" w:sz="8"/>
              <w:right w:val="single" w:color="D08A2E" w:sz="8"/>
            </w:tcBorders>
            <w:shd w:fill="F6EDF2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  הערות למורה</w:t>
            </w:r>
          </w:p>
        </w:tc>
      </w:tr>
      <w:tr>
        <w:trPr>
          <w:cantSplit/>
          <w:trHeight w:val="3217" w:hRule="exact"/>
        </w:trPr>
        <w:tc>
          <w:tcPr>
            <w:tcW w:type="dxa" w:w="9906"/>
            <w:tcBorders>
              <w:top w:val="none" w:color="FFFFFF" w:sz="0"/>
              <w:left w:val="single" w:color="D08A2E" w:sz="8"/>
              <w:bottom w:val="single" w:color="D08A2E" w:sz="8"/>
              <w:right w:val="single" w:color="D08A2E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sectPr>
          <w:headerReference w:type="default" r:id="rId8"/>
          <w:footerReference w:type="default" r:id="rId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680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20" w:before="0" w:line="300" w:lineRule="auto"/>
        <w:jc w:val="center"/>
      </w:pPr>
      <w:r>
        <w:rPr>
          <w:rFonts w:ascii="Suez One" w:cs="Suez One" w:eastAsia="Suez One" w:hAnsi="Suez One"/>
          <w:b w:val="false"/>
          <w:color w:val="FFFFFF"/>
          <w:sz w:val="60"/>
          <w:szCs w:val="60"/>
          <w:rtl/>
        </w:rPr>
        <w:t xml:space="preserve">מסכת מגילה</w:t>
      </w:r>
    </w:p>
    <w:p>
      <w:pPr>
        <w:keepNext w:val="false"/>
        <w:keepLines/>
        <w:bidi/>
        <w:spacing w:after="6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F5CF8A"/>
          <w:sz w:val="26"/>
          <w:szCs w:val="26"/>
          <w:rtl/>
        </w:rPr>
        <w:t xml:space="preserve">כיתה ז' · דפי חזרה – מחוון</w:t>
      </w:r>
    </w:p>
    <w:p>
      <w:pPr>
        <w:keepNext w:val="false"/>
        <w:bidi/>
        <w:spacing w:after="240" w:before="0"/>
        <w:jc w:val="center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12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FFF"/>
          <w:sz w:val="28"/>
          <w:szCs w:val="28"/>
          <w:rtl/>
        </w:rPr>
        <w:t xml:space="preserve">בחוברת: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00"/>
        <w:gridCol w:w="1600"/>
        <w:gridCol w:w="1600"/>
        <w:gridCol w:w="1600"/>
        <w:gridCol w:w="1600"/>
      </w:tblGrid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לשון המשנה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מילון המשנה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תרשים כאמד"ט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עיון בברטנורא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המשנה בחיינו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single" w:color="1D6A66" w:sz="6"/>
              <w:left w:val="thickThinLargeGap" w:color="1D6A66" w:sz="18"/>
              <w:bottom w:val="single" w:color="1D6A66" w:sz="6"/>
              <w:right w:val="thinThickLargeGap" w:color="1D6A66" w:sz="18"/>
            </w:tcBorders>
            <w:shd w:fill="FBF6EA" w:color="auto" w:val="clear"/>
            <w:tcMar>
              <w:top w:type="dxa" w:w="220"/>
              <w:left w:type="dxa" w:w="300"/>
              <w:bottom w:type="dxa" w:w="200"/>
              <w:right w:type="dxa" w:w="300"/>
            </w:tcMar>
          </w:tcPr>
          <w:p>
            <w:pPr>
              <w:keepNext w:val="false"/>
              <w:keepLines/>
              <w:bidi/>
              <w:spacing w:after="40" w:before="0" w:line="300" w:lineRule="auto"/>
              <w:jc w:val="center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8"/>
                <w:szCs w:val="38"/>
                <w:rtl/>
              </w:rPr>
              <w:t xml:space="preserve">הֲדְרָן עֲלָךְ מַסֶּכֶת מְגִלָּה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2"/>
                <w:szCs w:val="22"/>
                <w:rtl/>
              </w:rPr>
              <w:t xml:space="preserve">וְהַדְרָךְ עֲלָן, דַּעְתָּן עֲלָךְ וְדַעְתָּךְ עֲלָן</w:t>
            </w:r>
          </w:p>
        </w:tc>
      </w:tr>
    </w:tbl>
    <w:sectPr>
      <w:headerReference w:type="default" r:id="rId10"/>
      <w:footerReference w:type="default" r:id="rId11"/>
      <w:pgSz w:w="11906" w:h="16838" w:orient="portrait"/>
      <w:pgMar w:top="700" w:right="1000" w:bottom="900" w:left="1000" w:header="300" w:footer="5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c842c88c-2f84-e72e-5c61-5a60bcf86b16}"/>
  </w:font>
  <w:font w:name="Suez One">
    <w:charset w:val="00"/>
    <w:family w:val="auto"/>
    <w:pitch w:val="variable"/>
    <w:sig w:usb0="E0002AFF" w:usb1="C000247B" w:usb2="00000009" w:usb3="00000000" w:csb0="000001FF" w:csb1="00000000"/>
    <w:embedRegular r:id="rId2" w:fontKey="{b4561fdf-2919-5c30-e5c7-fd12320eaad9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ac6c192a-477d-95c9-614e-5bf47a0aee59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7ee6d203-332a-cad8-1b1c-b49ae331fe50}"/>
  </w:font>
  <w:font w:name="Frank Ruhl TB">
    <w:charset w:val="00"/>
    <w:family w:val="auto"/>
    <w:pitch w:val="variable"/>
    <w:sig w:usb0="E0002AFF" w:usb1="C000247B" w:usb2="00000009" w:usb3="00000000" w:csb0="000001FF" w:csb1="00000000"/>
    <w:embedRegular r:id="rId5" w:fontKey="{5f9ea503-0305-1279-890f-641a8e927030}"/>
  </w:font>
  <w:font w:name="Frank Ruhl TB Bold">
    <w:charset w:val="00"/>
    <w:family w:val="auto"/>
    <w:pitch w:val="variable"/>
    <w:sig w:usb0="E0002AFF" w:usb1="C000247B" w:usb2="00000009" w:usb3="00000000" w:csb0="000001FF" w:csb1="00000000"/>
    <w:embedRegular r:id="rId6" w:fontKey="{13a80df6-7a6c-4f61-f38a-8f17f36b20c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uez One" w:cs="Suez One" w:hAnsi="Suez One"/>
        <w:color w:val="5B2245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spacing w:after="0" w:before="0"/>
      <w:jc w:val="center"/>
    </w:pPr>
    <w:r>
      <w:rPr>
        <w:rFonts w:ascii="Suez One" w:cs="Suez One" w:eastAsia="Suez One" w:hAnsi="Suez One"/>
        <w:b w:val="false"/>
        <w:color w:val="F5CF8A"/>
        <w:sz w:val="23"/>
        <w:szCs w:val="23"/>
        <w:rtl/>
      </w:rPr>
      <w:t xml:space="preserve">מסכת מגילה</w:t>
    </w:r>
    <w:r>
      <w:rPr>
        <w:rFonts w:ascii="Rubik MG" w:cs="Rubik MG" w:eastAsia="Rubik MG" w:hAnsi="Rubik MG"/>
        <w:b w:val="false"/>
        <w:color w:val="D6E0EE"/>
        <w:sz w:val="22"/>
        <w:szCs w:val="22"/>
        <w:rtl/>
      </w:rPr>
      <w:t xml:space="preserve">   ·   דפי חזרה – מחוון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uez One" w:cs="Suez One" w:eastAsia="Suez One" w:hAnsi="Suez One"/>
              <w:b w:val="false"/>
              <w:color w:val="FFFFFF"/>
              <w:sz w:val="23"/>
              <w:szCs w:val="23"/>
              <w:rtl/>
            </w:rPr>
            <w:t xml:space="preserve">מסכת מגילה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כיתה ז'  ·  דפי חזרה –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F5CF8A"/>
              <w:sz w:val="21"/>
              <w:szCs w:val="21"/>
              <w:rtl/>
            </w:rPr>
            <w:t xml:space="preserve">מחוון למורה</w:t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color w:val="2A1F28"/>
        <w:sz w:val="25"/>
        <w:szCs w:val="25"/>
        <w:rtl/>
      </w:rPr>
    </w:rPrDefault>
    <w:pPrDefault>
      <w:pPr>
        <w:bidi/>
        <w:jc w:val="both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header" Target="header3.xml"/><Relationship Id="rId11" Type="http://schemas.openxmlformats.org/officeDocument/2006/relationships/footer" Target="footer2.xml"/><Relationship Id="rId12" Type="http://schemas.openxmlformats.org/officeDocument/2006/relationships/image" Target="media/983c6e60f424ea5bfadbb0c1033ab03008ff6c85.png"/><Relationship Id="rId13" Type="http://schemas.openxmlformats.org/officeDocument/2006/relationships/image" Target="media/2fea3d8dc662858d4460d284f6f5a04e8d1b37b4.png"/><Relationship Id="rId14" Type="http://schemas.openxmlformats.org/officeDocument/2006/relationships/image" Target="media/2ea35fa7d287cff5873634f10b64d85b627e4bbb.png"/><Relationship Id="rId15" Type="http://schemas.openxmlformats.org/officeDocument/2006/relationships/image" Target="media/9e8083b746f36657f3d1018df6b98948a76f8f6d.png"/><Relationship Id="rId16" Type="http://schemas.openxmlformats.org/officeDocument/2006/relationships/image" Target="media/33436656f45836a125d98517f86a239747e5fd79.png"/><Relationship Id="rId17" Type="http://schemas.openxmlformats.org/officeDocument/2006/relationships/image" Target="media/286578c0492e86927821787b69aea079183328f9.png"/><Relationship Id="rId18" Type="http://schemas.openxmlformats.org/officeDocument/2006/relationships/image" Target="media/5e37d74bfd88ffbc0f7f41bf0785a3be32ac444f.png"/><Relationship Id="rId19" Type="http://schemas.openxmlformats.org/officeDocument/2006/relationships/image" Target="media/3214b4f4ba439a48a7c2b9d1425fd59fa3471ce6.png"/><Relationship Id="rId20" Type="http://schemas.openxmlformats.org/officeDocument/2006/relationships/image" Target="media/5eaf52b9b26bf3e4a8f3b82af5d4a5597fa65e2f.png"/><Relationship Id="rId21" Type="http://schemas.openxmlformats.org/officeDocument/2006/relationships/image" Target="media/74ad6ad806bbafdfb24a0832bd945d24c1ce4540.png"/><Relationship Id="rId22" Type="http://schemas.openxmlformats.org/officeDocument/2006/relationships/image" Target="media/443a7023b8aff9e421c61b718f109458ae6c71d6.png"/><Relationship Id="rId23" Type="http://schemas.openxmlformats.org/officeDocument/2006/relationships/image" Target="media/04e1d107950a7b1d4767e168d1644ccfbe30cf4e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7c3d812622c0cdfa3380ba0eb64f9a72d7e12c0.jp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3cf5ccb5a0f4b25fae1abab9f686c1df2bbb7f88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d7a910f395dafe263fecea5025cf4e8a2bb6aab8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מסכת מגילה – דפי חזרה – מחוון</dc:title>
  <cp:revision>1</cp:revision>
  <dcterms:created xsi:type="dcterms:W3CDTF">2026-10-23T04:25:07.238Z</dcterms:created>
  <dcterms:modified xsi:type="dcterms:W3CDTF">2026-10-23T04:25:07.247Z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