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p>
      <w:pPr>
        <w:keepNext w:val="false"/>
        <w:keepLines/>
        <w:bidi/>
        <w:spacing w:after="40" w:before="60"/>
        <w:jc w:val="center"/>
      </w:pPr>
      <w:r>
        <w:rPr>
          <w:rFonts w:ascii="Rubik Medium MG" w:cs="Rubik Medium MG" w:hAnsi="Rubik Medium MG"/>
          <w:b w:val="false"/>
          <w:color w:val="D08A2E"/>
          <w:sz w:val="36"/>
          <w:szCs w:val="36"/>
          <w:rtl/>
        </w:rPr>
        <w:t xml:space="preserve">שלטים לכיתה</w:t>
      </w:r>
    </w:p>
    <w:p>
      <w:pPr>
        <w:keepNext w:val="false"/>
        <w:keepLines/>
        <w:bidi/>
        <w:spacing w:after="0" w:before="0" w:line="250" w:lineRule="auto"/>
        <w:jc w:val="center"/>
      </w:pPr>
      <w:r>
        <w:rPr>
          <w:rFonts w:ascii="Suez One" w:cs="Suez One" w:hAnsi="Suez One"/>
          <w:b w:val="false"/>
          <w:color w:val="5B2245"/>
          <w:sz w:val="144"/>
          <w:szCs w:val="144"/>
          <w:rtl/>
        </w:rPr>
        <w:t xml:space="preserve">מסכת מגילה</w:t>
      </w:r>
    </w:p>
    <w:tbl>
      <w:tblPr>
        <w:bidiVisual/>
        <w:tblW w:type="dxa" w:w="3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</w:tblGrid>
      <w:tr>
        <w:tc>
          <w:tcPr>
            <w:tcW w:type="dxa" w:w="3600"/>
            <w:tcBorders>
              <w:top w:val="single" w:color="D08A2E" w:sz="12"/>
              <w:left w:val="single" w:color="D08A2E" w:sz="12"/>
              <w:bottom w:val="single" w:color="D08A2E" w:sz="12"/>
              <w:right w:val="single" w:color="D08A2E" w:sz="12"/>
            </w:tcBorders>
            <w:shd w:fill="1D6A66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60"/>
                <w:szCs w:val="60"/>
                <w:rtl/>
              </w:rPr>
              <w:t xml:space="preserve">כיתה ז'</w:t>
            </w:r>
          </w:p>
        </w:tc>
      </w:tr>
    </w:tbl>
    <w:p>
      <w:pPr>
        <w:bidi/>
        <w:spacing w:after="24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873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37"/>
      </w:tblGrid>
      <w:tr>
        <w:tc>
          <w:tcPr>
            <w:tcW w:type="dxa" w:w="8737"/>
            <w:tcBorders>
              <w:top w:val="single" w:color="D08A2E" w:sz="24"/>
              <w:left w:val="single" w:color="D08A2E" w:sz="24"/>
              <w:bottom w:val="single" w:color="D08A2E" w:sz="24"/>
              <w:right w:val="single" w:color="D08A2E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467350" cy="3648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4"/>
                <w:szCs w:val="54"/>
                <w:rtl/>
              </w:rPr>
              <w:t xml:space="preserve">מְגִלָּה נִקְרֵאת בְּאַחַד עָשָׂר, בִּשְׁנֵים עָשָׂר,</w:t>
            </w:r>
          </w:p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4"/>
                <w:szCs w:val="54"/>
                <w:rtl/>
              </w:rPr>
              <w:t xml:space="preserve">בִּשְׁלֹשָׁה עָשָׂר, בְּאַרְבָּעָה עָשָׂר, בַּחֲמִשָּׁה עָשָׂר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(משנה מגילה א, א)</w:t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ארבעה פרקים · 33 משניות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פרקי מסכת מגילה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single" w:color="D08A2E" w:sz="12"/>
          <w:left w:val="single" w:color="D08A2E" w:sz="12"/>
          <w:bottom w:val="single" w:color="D08A2E" w:sz="12"/>
          <w:right w:val="single" w:color="D08A2E" w:sz="12"/>
          <w:insideH w:val="single" w:color="D9C9D3" w:sz="4"/>
          <w:insideV w:val="single" w:color="D9C9D3" w:sz="4"/>
        </w:tblBorders>
        <w:tblLayout w:type="fixed"/>
      </w:tblPr>
      <w:tblGrid>
        <w:gridCol w:w="1373"/>
        <w:gridCol w:w="2648"/>
        <w:gridCol w:w="1471"/>
        <w:gridCol w:w="4314"/>
      </w:tblGrid>
      <w:tr>
        <w:trPr>
          <w:tblHeader/>
        </w:trPr>
        <w:tc>
          <w:tcPr>
            <w:tcW w:type="dxa" w:w="1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פרק</w:t>
            </w:r>
          </w:p>
        </w:tc>
        <w:tc>
          <w:tcPr>
            <w:tcW w:type="dxa" w:w="2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שם הפרק</w:t>
            </w:r>
          </w:p>
        </w:tc>
        <w:tc>
          <w:tcPr>
            <w:tcW w:type="dxa" w:w="1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משניות</w:t>
            </w:r>
          </w:p>
        </w:tc>
        <w:tc>
          <w:tcPr>
            <w:tcW w:type="dxa" w:w="4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נושאים מרכזיים</w:t>
            </w:r>
          </w:p>
        </w:tc>
      </w:tr>
      <w:tr>
        <w:trPr>
          <w:trHeight w:val="2450" w:hRule="atLeast"/>
        </w:trPr>
        <w:tc>
          <w:tcPr>
            <w:tcW w:type="dxa" w:w="1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BD3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40"/>
                <w:szCs w:val="40"/>
                <w:rtl/>
              </w:rPr>
              <w:t xml:space="preserve">פרק א</w:t>
            </w:r>
          </w:p>
        </w:tc>
        <w:tc>
          <w:tcPr>
            <w:tcW w:type="dxa" w:w="2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מגילה נקראת</w:t>
            </w:r>
          </w:p>
        </w:tc>
        <w:tc>
          <w:tcPr>
            <w:tcW w:type="dxa" w:w="1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48"/>
                <w:szCs w:val="48"/>
                <w:rtl/>
              </w:rPr>
              <w:t xml:space="preserve">11</w:t>
            </w:r>
          </w:p>
        </w:tc>
        <w:tc>
          <w:tcPr>
            <w:tcW w:type="dxa" w:w="4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40"/>
                <w:szCs w:val="40"/>
                <w:rtl/>
              </w:rPr>
              <w:t xml:space="preserve">זמני קריאת המגילה, יום הכניסה, «אין בין... אלא...»</w:t>
            </w:r>
          </w:p>
        </w:tc>
      </w:tr>
      <w:tr>
        <w:trPr>
          <w:trHeight w:val="2450" w:hRule="atLeast"/>
        </w:trPr>
        <w:tc>
          <w:tcPr>
            <w:tcW w:type="dxa" w:w="1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BD3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40"/>
                <w:szCs w:val="40"/>
                <w:rtl/>
              </w:rPr>
              <w:t xml:space="preserve">פרק ב</w:t>
            </w:r>
          </w:p>
        </w:tc>
        <w:tc>
          <w:tcPr>
            <w:tcW w:type="dxa" w:w="2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הקורא את המגילה למפרע</w:t>
            </w:r>
          </w:p>
        </w:tc>
        <w:tc>
          <w:tcPr>
            <w:tcW w:type="dxa" w:w="1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48"/>
                <w:szCs w:val="48"/>
                <w:rtl/>
              </w:rPr>
              <w:t xml:space="preserve">6</w:t>
            </w:r>
          </w:p>
        </w:tc>
        <w:tc>
          <w:tcPr>
            <w:tcW w:type="dxa" w:w="4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40"/>
                <w:szCs w:val="40"/>
                <w:rtl/>
              </w:rPr>
              <w:t xml:space="preserve">איך קוראים את המגילה, מי כשר לקרוא, «כל היום כשר»</w:t>
            </w:r>
          </w:p>
        </w:tc>
      </w:tr>
      <w:tr>
        <w:trPr>
          <w:trHeight w:val="2450" w:hRule="atLeast"/>
        </w:trPr>
        <w:tc>
          <w:tcPr>
            <w:tcW w:type="dxa" w:w="1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BD3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40"/>
                <w:szCs w:val="40"/>
                <w:rtl/>
              </w:rPr>
              <w:t xml:space="preserve">פרק ג</w:t>
            </w:r>
          </w:p>
        </w:tc>
        <w:tc>
          <w:tcPr>
            <w:tcW w:type="dxa" w:w="2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בני העיר</w:t>
            </w:r>
          </w:p>
        </w:tc>
        <w:tc>
          <w:tcPr>
            <w:tcW w:type="dxa" w:w="1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48"/>
                <w:szCs w:val="48"/>
                <w:rtl/>
              </w:rPr>
              <w:t xml:space="preserve">6</w:t>
            </w:r>
          </w:p>
        </w:tc>
        <w:tc>
          <w:tcPr>
            <w:tcW w:type="dxa" w:w="4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40"/>
                <w:szCs w:val="40"/>
                <w:rtl/>
              </w:rPr>
              <w:t xml:space="preserve">קדושת בית הכנסת, ארבע פרשיות, קריאת התורה במועדים</w:t>
            </w:r>
          </w:p>
        </w:tc>
      </w:tr>
      <w:tr>
        <w:trPr>
          <w:trHeight w:val="2450" w:hRule="atLeast"/>
        </w:trPr>
        <w:tc>
          <w:tcPr>
            <w:tcW w:type="dxa" w:w="1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BD3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40"/>
                <w:szCs w:val="40"/>
                <w:rtl/>
              </w:rPr>
              <w:t xml:space="preserve">פרק ד</w:t>
            </w:r>
          </w:p>
        </w:tc>
        <w:tc>
          <w:tcPr>
            <w:tcW w:type="dxa" w:w="2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הקורא עומד</w:t>
            </w:r>
          </w:p>
        </w:tc>
        <w:tc>
          <w:tcPr>
            <w:tcW w:type="dxa" w:w="1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48"/>
                <w:szCs w:val="48"/>
                <w:rtl/>
              </w:rPr>
              <w:t xml:space="preserve">10</w:t>
            </w:r>
          </w:p>
        </w:tc>
        <w:tc>
          <w:tcPr>
            <w:tcW w:type="dxa" w:w="4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40"/>
                <w:szCs w:val="40"/>
                <w:rtl/>
              </w:rPr>
              <w:t xml:space="preserve">כמה עולים לתורה, דברים שבקדושה, ההפטרה בנביא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Bold MG" w:cs="Rubik Bold MG" w:hAnsi="Rubik Bold MG"/>
          <w:b w:val="false"/>
          <w:color w:val="5B2245"/>
          <w:sz w:val="40"/>
          <w:szCs w:val="40"/>
          <w:rtl/>
        </w:rPr>
        <w:t xml:space="preserve">לומדים פרק אחר פרק – ומסיימים את כל המסכת!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א · משנה א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זמני קריאת המגילה</w:t>
            </w:r>
          </w:p>
        </w:tc>
      </w:tr>
    </w:tbl>
    <w:p>
      <w:pPr>
        <w:bidi/>
        <w:spacing w:after="1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5789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89"/>
      </w:tblGrid>
      <w:tr>
        <w:tc>
          <w:tcPr>
            <w:tcW w:type="dxa" w:w="5789"/>
            <w:tcBorders>
              <w:top w:val="single" w:color="D08A2E" w:sz="24"/>
              <w:left w:val="single" w:color="D08A2E" w:sz="24"/>
              <w:bottom w:val="single" w:color="D08A2E" w:sz="24"/>
              <w:right w:val="single" w:color="D08A2E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3600450" cy="2400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8"/>
                <w:szCs w:val="48"/>
                <w:rtl/>
              </w:rPr>
              <w:t xml:space="preserve">כְּרַכִּין הַמֻקָּפִין חוֹמָה מִימוֹת יְהוֹשֻׁעַ בִּן נוּן, קוֹרִין בַּחֲמִשָּׁה עָשָׂר.</w:t>
            </w:r>
          </w:p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8"/>
                <w:szCs w:val="48"/>
                <w:rtl/>
              </w:rPr>
              <w:t xml:space="preserve">כְּפָרִים וַעֲיָרוֹת גְּדוֹלוֹת, קוֹרִין בְּאַרְבָּעָה עָשָׂר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א, א)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6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1"/>
        <w:gridCol w:w="1921"/>
        <w:gridCol w:w="1921"/>
        <w:gridCol w:w="1921"/>
        <w:gridCol w:w="1922"/>
      </w:tblGrid>
      <w:tr>
        <w:trPr>
          <w:trHeight w:val="1150" w:hRule="atLeast"/>
        </w:trPr>
        <w:tc>
          <w:tcPr>
            <w:tcW w:type="dxa" w:w="1921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BEBD3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5B2245"/>
                <w:sz w:val="28"/>
                <w:szCs w:val="28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88"/>
                <w:szCs w:val="88"/>
                <w:rtl/>
              </w:rPr>
              <w:t xml:space="preserve">י"א</w:t>
            </w:r>
          </w:p>
        </w:tc>
        <w:tc>
          <w:tcPr>
            <w:tcW w:type="dxa" w:w="1921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BEBD3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5B2245"/>
                <w:sz w:val="28"/>
                <w:szCs w:val="28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88"/>
                <w:szCs w:val="88"/>
                <w:rtl/>
              </w:rPr>
              <w:t xml:space="preserve">י"ב</w:t>
            </w:r>
          </w:p>
        </w:tc>
        <w:tc>
          <w:tcPr>
            <w:tcW w:type="dxa" w:w="1921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BEBD3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5B2245"/>
                <w:sz w:val="28"/>
                <w:szCs w:val="28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88"/>
                <w:szCs w:val="88"/>
                <w:rtl/>
              </w:rPr>
              <w:t xml:space="preserve">י"ג</w:t>
            </w:r>
          </w:p>
        </w:tc>
        <w:tc>
          <w:tcPr>
            <w:tcW w:type="dxa" w:w="1921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1D6A66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28"/>
                <w:szCs w:val="28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י"ד</w:t>
            </w:r>
          </w:p>
        </w:tc>
        <w:tc>
          <w:tcPr>
            <w:tcW w:type="dxa" w:w="1922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5B224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28"/>
                <w:szCs w:val="28"/>
                <w:rtl/>
              </w:rPr>
              <w:t xml:space="preserve">אֲדָר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ט"ו</w:t>
            </w:r>
          </w:p>
        </w:tc>
      </w:tr>
      <w:tr>
        <w:trPr>
          <w:trHeight w:val="1050" w:hRule="atLeast"/>
        </w:trPr>
        <w:tc>
          <w:tcPr>
            <w:tcW w:type="dxa" w:w="5763"/>
            <w:gridSpan w:val="3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FF6E8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כפרים – כשמקדימים ליום הכניסה</w:t>
            </w:r>
          </w:p>
        </w:tc>
        <w:tc>
          <w:tcPr>
            <w:tcW w:type="dxa" w:w="1921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EF6F4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34"/>
                <w:szCs w:val="34"/>
                <w:rtl/>
              </w:rPr>
              <w:t xml:space="preserve">כפרים ועיירות גדולות</w:t>
            </w:r>
          </w:p>
        </w:tc>
        <w:tc>
          <w:tcPr>
            <w:tcW w:type="dxa" w:w="1922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6EDF2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כרכים מוקפי חומה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290" w:lineRule="auto"/>
        <w:jc w:val="center"/>
      </w:pPr>
      <w:r>
        <w:rPr>
          <w:rFonts w:ascii="Rubik Medium MG" w:cs="Rubik Medium MG" w:hAnsi="Rubik Medium MG"/>
          <w:b w:val="false"/>
          <w:color w:val="2A1F28"/>
          <w:sz w:val="38"/>
          <w:szCs w:val="38"/>
          <w:rtl/>
        </w:rPr>
        <w:t xml:space="preserve">היום נקבע לפי סוג המקום – לא פחות ולא יותר.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א · משניות א–ב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יום הכניסה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873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37"/>
      </w:tblGrid>
      <w:tr>
        <w:tc>
          <w:tcPr>
            <w:tcW w:type="dxa" w:w="8737"/>
            <w:tcBorders>
              <w:top w:val="single" w:color="D08A2E" w:sz="24"/>
              <w:left w:val="single" w:color="D08A2E" w:sz="24"/>
              <w:bottom w:val="single" w:color="D08A2E" w:sz="24"/>
              <w:right w:val="single" w:color="D08A2E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467350" cy="3648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8"/>
                <w:szCs w:val="58"/>
                <w:rtl/>
              </w:rPr>
              <w:t xml:space="preserve">אֶלָּא שֶׁהַכְּפָרִים מַקְדִּימִין לְיוֹם הַכְּנִיסָה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א, א)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2A1F28"/>
          <w:sz w:val="44"/>
          <w:szCs w:val="44"/>
          <w:rtl/>
        </w:rPr>
        <w:t xml:space="preserve">בימי שני וחמישי באו בני הכפרים אל העיר, שבה ישב בית הדין וקראו בתורה. חכמים הקלו עליהם: מותר להם להקדים את קריאת המגילה ליום הכניסה שלפני פורים.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א · משניות ד–ח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«אֵין בֵּין... אֶלָּא...»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220" w:before="0"/>
        <w:jc w:val="center"/>
      </w:pPr>
      <w:r>
        <w:rPr>
          <w:rFonts w:ascii="Rubik Bold MG" w:cs="Rubik Bold MG" w:hAnsi="Rubik Bold MG"/>
          <w:b w:val="false"/>
          <w:color w:val="1D6A66"/>
          <w:sz w:val="40"/>
          <w:szCs w:val="40"/>
          <w:rtl/>
        </w:rPr>
        <w:t xml:space="preserve">שני דברים שווים כמעט בכול – חוץ מדבר אחד!</w:t>
      </w:r>
    </w:p>
    <w:tbl>
      <w:tblPr>
        <w:bidiVisual/>
        <w:tblW w:type="dxa" w:w="9806"/>
        <w:jc w:val="center"/>
        <w:tblBorders>
          <w:top w:val="single" w:color="D08A2E" w:sz="12"/>
          <w:left w:val="single" w:color="D08A2E" w:sz="12"/>
          <w:bottom w:val="single" w:color="D08A2E" w:sz="12"/>
          <w:right w:val="single" w:color="D08A2E" w:sz="12"/>
          <w:insideH w:val="single" w:color="D9C9D3" w:sz="4"/>
          <w:insideV w:val="single" w:color="D9C9D3" w:sz="4"/>
        </w:tblBorders>
        <w:tblLayout w:type="fixed"/>
      </w:tblPr>
      <w:tblGrid>
        <w:gridCol w:w="3236"/>
        <w:gridCol w:w="4903"/>
        <w:gridCol w:w="1667"/>
      </w:tblGrid>
      <w:tr>
        <w:trPr>
          <w:tblHeader/>
        </w:trPr>
        <w:tc>
          <w:tcPr>
            <w:tcW w:type="dxa" w:w="3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בין מה למה?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ההבדל היחיד – בלשון המשנה</w:t>
            </w:r>
          </w:p>
        </w:tc>
        <w:tc>
          <w:tcPr>
            <w:tcW w:type="dxa" w:w="1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מקור</w:t>
            </w:r>
          </w:p>
        </w:tc>
      </w:tr>
      <w:tr>
        <w:trPr>
          <w:trHeight w:val="2000" w:hRule="atLeast"/>
        </w:trPr>
        <w:tc>
          <w:tcPr>
            <w:tcW w:type="dxa" w:w="3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בין אדר הראשון לאדר השני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קְרִיאַת הַמְּגִלָּה וּמַתָּנוֹת לָאֶבְיוֹנִים</w:t>
            </w:r>
          </w:p>
        </w:tc>
        <w:tc>
          <w:tcPr>
            <w:tcW w:type="dxa" w:w="1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4"/>
                <w:szCs w:val="34"/>
                <w:rtl/>
              </w:rPr>
              <w:t xml:space="preserve">(א, ד)</w:t>
            </w:r>
          </w:p>
        </w:tc>
      </w:tr>
      <w:tr>
        <w:trPr>
          <w:trHeight w:val="2000" w:hRule="atLeast"/>
        </w:trPr>
        <w:tc>
          <w:tcPr>
            <w:tcW w:type="dxa" w:w="3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בין יום טוב לשבת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אֹכֶל נֶפֶשׁ בִּלְבָד</w:t>
            </w:r>
          </w:p>
        </w:tc>
        <w:tc>
          <w:tcPr>
            <w:tcW w:type="dxa" w:w="1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4"/>
                <w:szCs w:val="34"/>
                <w:rtl/>
              </w:rPr>
              <w:t xml:space="preserve">(א, ה)</w:t>
            </w:r>
          </w:p>
        </w:tc>
      </w:tr>
      <w:tr>
        <w:trPr>
          <w:trHeight w:val="2000" w:hRule="atLeast"/>
        </w:trPr>
        <w:tc>
          <w:tcPr>
            <w:tcW w:type="dxa" w:w="3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בין שבת ליום הכיפורים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שֶׁזֶּה זְדוֹנוֹ בִּידֵי אָדָם, וְזֶה זְדוֹנוֹ בְּכָרֵת</w:t>
            </w:r>
          </w:p>
        </w:tc>
        <w:tc>
          <w:tcPr>
            <w:tcW w:type="dxa" w:w="1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4"/>
                <w:szCs w:val="34"/>
                <w:rtl/>
              </w:rPr>
              <w:t xml:space="preserve">(א, ה)</w:t>
            </w:r>
          </w:p>
        </w:tc>
      </w:tr>
      <w:tr>
        <w:trPr>
          <w:trHeight w:val="2000" w:hRule="atLeast"/>
        </w:trPr>
        <w:tc>
          <w:tcPr>
            <w:tcW w:type="dxa" w:w="3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בין ספרים לתפילין ומזוזות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שֶׁהַסְּפָרִים נִכְתָּבִין בְּכָל לָשׁוֹן</w:t>
            </w:r>
          </w:p>
        </w:tc>
        <w:tc>
          <w:tcPr>
            <w:tcW w:type="dxa" w:w="1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4"/>
                <w:szCs w:val="34"/>
                <w:rtl/>
              </w:rPr>
              <w:t xml:space="preserve">(א, ח)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Bold MG" w:cs="Rubik Bold MG" w:hAnsi="Rubik Bold MG"/>
          <w:b w:val="false"/>
          <w:color w:val="5B2245"/>
          <w:sz w:val="40"/>
          <w:szCs w:val="40"/>
          <w:rtl/>
        </w:rPr>
        <w:t xml:space="preserve">כך בנויות משניות «אין בין»: משווים – ומוצאים את ההבדל.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ב · משניות א–ב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0"/>
                <w:szCs w:val="80"/>
                <w:rtl/>
              </w:rPr>
              <w:t xml:space="preserve">קוראים כסדרה – ובכתב אשורית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873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37"/>
      </w:tblGrid>
      <w:tr>
        <w:tc>
          <w:tcPr>
            <w:tcW w:type="dxa" w:w="8737"/>
            <w:tcBorders>
              <w:top w:val="single" w:color="D08A2E" w:sz="24"/>
              <w:left w:val="single" w:color="D08A2E" w:sz="24"/>
              <w:bottom w:val="single" w:color="D08A2E" w:sz="24"/>
              <w:right w:val="single" w:color="D08A2E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467350" cy="3648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0"/>
                <w:szCs w:val="50"/>
                <w:rtl/>
              </w:rPr>
              <w:t xml:space="preserve">הַקּוֹרֵא אֶת הַמְּגִלָּה לְמַפְרֵעַ, לֹא יָצָא ...</w:t>
            </w:r>
          </w:p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0"/>
                <w:szCs w:val="50"/>
                <w:rtl/>
              </w:rPr>
              <w:t xml:space="preserve">עַד שֶׁתְּהֵא כְּתוּבָה אַשּׁוּרִית עַל הַסֵּפֶר וּבִדְיוֹ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ב, א–ב)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2A1F28"/>
          <w:sz w:val="44"/>
          <w:szCs w:val="44"/>
          <w:rtl/>
        </w:rPr>
        <w:t xml:space="preserve">קוראים את המגילה לפי הסדר, מתחילתה ועד סופה, מתוך מגילה כתובה בכתב אשורית, על קלף ובדיו.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ב · משנה 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«כל היום כשר»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873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37"/>
      </w:tblGrid>
      <w:tr>
        <w:tc>
          <w:tcPr>
            <w:tcW w:type="dxa" w:w="8737"/>
            <w:tcBorders>
              <w:top w:val="single" w:color="D08A2E" w:sz="24"/>
              <w:left w:val="single" w:color="D08A2E" w:sz="24"/>
              <w:bottom w:val="single" w:color="D08A2E" w:sz="24"/>
              <w:right w:val="single" w:color="D08A2E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467350" cy="3648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0"/>
                <w:szCs w:val="50"/>
                <w:rtl/>
              </w:rPr>
              <w:t xml:space="preserve">כָּל הַיּוֹם כָּשֵׁר לִקְרִיאַת הַמְּגִלָּה, וְלִקְרִיאַת הַהַלֵּל,</w:t>
            </w:r>
          </w:p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0"/>
                <w:szCs w:val="50"/>
                <w:rtl/>
              </w:rPr>
              <w:t xml:space="preserve">וְלִתְקִיעַת שׁוֹפָר, וְלִנְטִילַת לוּלָב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ב, ה)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2A1F28"/>
          <w:sz w:val="44"/>
          <w:szCs w:val="44"/>
          <w:rtl/>
        </w:rPr>
        <w:t xml:space="preserve">מצוות שזמנן ביום מקיימים מהנץ החמה ועד סוף היום. ומי שקיים אותן כבר מעלות השחר – יצא.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ג · משנה א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מעלות בקדושה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20" w:before="0"/>
        <w:jc w:val="center"/>
      </w:pPr>
      <w:r>
        <w:rPr>
          <w:rFonts w:ascii="Rubik Bold MG" w:cs="Rubik Bold MG" w:hAnsi="Rubik Bold MG"/>
          <w:b w:val="false"/>
          <w:color w:val="D08A2E"/>
          <w:sz w:val="36"/>
          <w:szCs w:val="36"/>
          <w:rtl/>
        </w:rPr>
        <w:t xml:space="preserve">עולים בקדושה – מלמטה למעלה</w:t>
      </w:r>
    </w:p>
    <w:tbl>
      <w:tblPr>
        <w:bidiVisual/>
        <w:tblW w:type="dxa" w:w="480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</w:tblGrid>
      <w:tr>
        <w:trPr>
          <w:trHeight w:val="1120" w:hRule="atLeast"/>
        </w:trPr>
        <w:tc>
          <w:tcPr>
            <w:tcW w:type="dxa" w:w="4803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5B2245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10" w:before="0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48"/>
                <w:szCs w:val="48"/>
                <w:rtl/>
              </w:rPr>
              <w:t xml:space="preserve">תורה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30"/>
                <w:szCs w:val="30"/>
                <w:rtl/>
              </w:rPr>
              <w:t xml:space="preserve">ספר תורה – הקדוש מכולם</w:t>
            </w:r>
          </w:p>
        </w:tc>
      </w:tr>
    </w:tbl>
    <w:p>
      <w:pPr>
        <w:bidi/>
        <w:spacing w:after="7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57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4"/>
      </w:tblGrid>
      <w:tr>
        <w:trPr>
          <w:trHeight w:val="1120" w:hRule="atLeast"/>
        </w:trPr>
        <w:tc>
          <w:tcPr>
            <w:tcW w:type="dxa" w:w="5764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6E3358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10" w:before="0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48"/>
                <w:szCs w:val="48"/>
                <w:rtl/>
              </w:rPr>
              <w:t xml:space="preserve">ספרים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30"/>
                <w:szCs w:val="30"/>
                <w:rtl/>
              </w:rPr>
              <w:t xml:space="preserve">ספרי נביאים וכתובים</w:t>
            </w:r>
          </w:p>
        </w:tc>
      </w:tr>
    </w:tbl>
    <w:p>
      <w:pPr>
        <w:bidi/>
        <w:spacing w:after="7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672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24"/>
      </w:tblGrid>
      <w:tr>
        <w:trPr>
          <w:trHeight w:val="1120" w:hRule="atLeast"/>
        </w:trPr>
        <w:tc>
          <w:tcPr>
            <w:tcW w:type="dxa" w:w="6724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82456B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10" w:before="0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48"/>
                <w:szCs w:val="48"/>
                <w:rtl/>
              </w:rPr>
              <w:t xml:space="preserve">מטפחות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30"/>
                <w:szCs w:val="30"/>
                <w:rtl/>
              </w:rPr>
              <w:t xml:space="preserve">הבדים שעוטפים בהם את הספרים</w:t>
            </w:r>
          </w:p>
        </w:tc>
      </w:tr>
    </w:tbl>
    <w:p>
      <w:pPr>
        <w:bidi/>
        <w:spacing w:after="7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7685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85"/>
      </w:tblGrid>
      <w:tr>
        <w:trPr>
          <w:trHeight w:val="1120" w:hRule="atLeast"/>
        </w:trPr>
        <w:tc>
          <w:tcPr>
            <w:tcW w:type="dxa" w:w="7685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1D6A66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10" w:before="0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48"/>
                <w:szCs w:val="48"/>
                <w:rtl/>
              </w:rPr>
              <w:t xml:space="preserve">תיבה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30"/>
                <w:szCs w:val="30"/>
                <w:rtl/>
              </w:rPr>
              <w:t xml:space="preserve">הארון שבו מניחים את ספרי הקודש</w:t>
            </w:r>
          </w:p>
        </w:tc>
      </w:tr>
    </w:tbl>
    <w:p>
      <w:pPr>
        <w:bidi/>
        <w:spacing w:after="7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8645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45"/>
      </w:tblGrid>
      <w:tr>
        <w:trPr>
          <w:trHeight w:val="1120" w:hRule="atLeast"/>
        </w:trPr>
        <w:tc>
          <w:tcPr>
            <w:tcW w:type="dxa" w:w="8645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2C7D78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10" w:before="0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48"/>
                <w:szCs w:val="48"/>
                <w:rtl/>
              </w:rPr>
              <w:t xml:space="preserve">בית הכנסת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30"/>
                <w:szCs w:val="30"/>
                <w:rtl/>
              </w:rPr>
              <w:t xml:space="preserve">המקום שבו הציבור מתפלל</w:t>
            </w:r>
          </w:p>
        </w:tc>
      </w:tr>
    </w:tbl>
    <w:p>
      <w:pPr>
        <w:bidi/>
        <w:spacing w:after="7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6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06"/>
      </w:tblGrid>
      <w:tr>
        <w:trPr>
          <w:trHeight w:val="1120" w:hRule="atLeast"/>
        </w:trPr>
        <w:tc>
          <w:tcPr>
            <w:tcW w:type="dxa" w:w="96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3F918B" w:color="auto" w:val="clear"/>
            <w:tcMar>
              <w:top w:type="dxa" w:w="50"/>
              <w:left w:type="dxa" w:w="140"/>
              <w:bottom w:type="dxa" w:w="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10" w:before="0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48"/>
                <w:szCs w:val="48"/>
                <w:rtl/>
              </w:rPr>
              <w:t xml:space="preserve">רחובה של עיר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FFFFF"/>
                <w:sz w:val="30"/>
                <w:szCs w:val="30"/>
                <w:rtl/>
              </w:rPr>
              <w:t xml:space="preserve">הרחבה שבה התאספו לתפילה בימי תענית</w:t>
            </w:r>
          </w:p>
        </w:tc>
      </w:tr>
    </w:tbl>
    <w:p>
      <w:pPr>
        <w:bidi/>
        <w:spacing w:after="7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bidi/>
        <w:spacing w:after="1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סְפָרִים, לוֹקְחִין תּוֹרָה.</w:t>
            </w:r>
          </w:p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אֲבָל אִם מָכְרוּ תּוֹרָה, לֹא יִקְחוּ סְפָרִים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ג, א)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290" w:lineRule="auto"/>
        <w:jc w:val="center"/>
      </w:pPr>
      <w:r>
        <w:rPr>
          <w:rFonts w:ascii="Rubik Bold MG" w:cs="Rubik Bold MG" w:hAnsi="Rubik Bold MG"/>
          <w:b w:val="false"/>
          <w:color w:val="5B2245"/>
          <w:sz w:val="38"/>
          <w:szCs w:val="38"/>
          <w:rtl/>
        </w:rPr>
        <w:t xml:space="preserve">בכסף של דבר קדוש קונים רק דבר קדוש יותר: «מעלין בקודש ואין מורידין» (ברטנורא)</w:t>
      </w:r>
    </w:p>
    <w:p>
      <w:pPr>
        <w:sectPr>
          <w:headerReference w:type="default" r:id="rId21"/>
          <w:footerReference w:type="default" r:id="rId2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ג · משנה ג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כבוד בית הכנסת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873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37"/>
      </w:tblGrid>
      <w:tr>
        <w:tc>
          <w:tcPr>
            <w:tcW w:type="dxa" w:w="8737"/>
            <w:tcBorders>
              <w:top w:val="single" w:color="D08A2E" w:sz="24"/>
              <w:left w:val="single" w:color="D08A2E" w:sz="24"/>
              <w:bottom w:val="single" w:color="D08A2E" w:sz="24"/>
              <w:right w:val="single" w:color="D08A2E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467350" cy="3648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0"/>
                <w:szCs w:val="50"/>
                <w:rtl/>
              </w:rPr>
              <w:t xml:space="preserve">וְאֵין עוֹשִׂין אוֹתוֹ קַפַּנְדַּרְיָא ...</w:t>
            </w:r>
          </w:p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0"/>
                <w:szCs w:val="50"/>
                <w:rtl/>
              </w:rPr>
              <w:t xml:space="preserve">קְדֻשָּׁתָן אַף כְּשֶׁהֵן שׁוֹמְמִין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ג, ג)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2A1F28"/>
          <w:sz w:val="44"/>
          <w:szCs w:val="44"/>
          <w:rtl/>
        </w:rPr>
        <w:t xml:space="preserve">בית הכנסת קדוש – אפילו אחרי שחרב. לא עוברים בו כדי לקצר את הדרך, ומתנהגים בו בכבוד.</w:t>
      </w:r>
    </w:p>
    <w:p>
      <w:pPr>
        <w:sectPr>
          <w:headerReference w:type="default" r:id="rId23"/>
          <w:footerReference w:type="default" r:id="rId2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ג · משנה ד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ארבע פרשיות</w:t>
            </w:r>
          </w:p>
        </w:tc>
      </w:tr>
    </w:tbl>
    <w:p>
      <w:pPr>
        <w:bidi/>
        <w:spacing w:after="1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5449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49"/>
      </w:tblGrid>
      <w:tr>
        <w:tc>
          <w:tcPr>
            <w:tcW w:type="dxa" w:w="5449"/>
            <w:tcBorders>
              <w:top w:val="single" w:color="D08A2E" w:sz="24"/>
              <w:left w:val="single" w:color="D08A2E" w:sz="24"/>
              <w:bottom w:val="single" w:color="D08A2E" w:sz="24"/>
              <w:right w:val="single" w:color="D08A2E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3381375" cy="2257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225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8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6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23"/>
        <w:gridCol w:w="160"/>
        <w:gridCol w:w="4723"/>
      </w:tblGrid>
      <w:tr>
        <w:trPr>
          <w:trHeight w:val="1600" w:hRule="atLeast"/>
        </w:trPr>
        <w:tc>
          <w:tcPr>
            <w:tcW w:type="dxa" w:w="4723"/>
            <w:tcBorders>
              <w:top w:val="single" w:color="5B2245" w:sz="48"/>
              <w:left w:val="single" w:color="5B2245" w:sz="8"/>
              <w:bottom w:val="single" w:color="5B2245" w:sz="8"/>
              <w:right w:val="single" w:color="5B2245" w:sz="8"/>
            </w:tcBorders>
            <w:shd w:fill="F6EDF2" w:color="auto" w:val="clear"/>
            <w:tcMar>
              <w:top w:type="dxa" w:w="150"/>
              <w:left w:type="dxa" w:w="140"/>
              <w:bottom w:type="dxa" w:w="1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52"/>
                <w:szCs w:val="52"/>
                <w:rtl/>
              </w:rPr>
              <w:t xml:space="preserve">פרשת שקלים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2A1F28"/>
                <w:sz w:val="32"/>
                <w:szCs w:val="32"/>
                <w:rtl/>
              </w:rPr>
              <w:t xml:space="preserve">שבת ראש חודש אדר, או השבת שלפניה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2"/>
                <w:szCs w:val="32"/>
                <w:rtl/>
              </w:rPr>
              <w:t xml:space="preserve">זוכרים את מחצית השקל שנתנו לקרבנות הציבור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723"/>
            <w:tcBorders>
              <w:top w:val="single" w:color="1D6A66" w:sz="48"/>
              <w:left w:val="single" w:color="1D6A66" w:sz="8"/>
              <w:bottom w:val="single" w:color="1D6A66" w:sz="8"/>
              <w:right w:val="single" w:color="1D6A66" w:sz="8"/>
            </w:tcBorders>
            <w:shd w:fill="EEF6F4" w:color="auto" w:val="clear"/>
            <w:tcMar>
              <w:top w:type="dxa" w:w="150"/>
              <w:left w:type="dxa" w:w="140"/>
              <w:bottom w:type="dxa" w:w="1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52"/>
                <w:szCs w:val="52"/>
                <w:rtl/>
              </w:rPr>
              <w:t xml:space="preserve">פרשת זכור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2A1F28"/>
                <w:sz w:val="32"/>
                <w:szCs w:val="32"/>
                <w:rtl/>
              </w:rPr>
              <w:t xml:space="preserve">השבת השנייה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2"/>
                <w:szCs w:val="32"/>
                <w:rtl/>
              </w:rPr>
              <w:t xml:space="preserve">זוכרים מה שעשה לנו עמלק</w:t>
            </w:r>
          </w:p>
        </w:tc>
      </w:tr>
      <w:tr>
        <w:trPr>
          <w:trHeight w:val="160" w:hRule="exact"/>
        </w:trPr>
        <w:tc>
          <w:tcPr>
            <w:tcW w:type="dxa" w:w="47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7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1600" w:hRule="atLeast"/>
        </w:trPr>
        <w:tc>
          <w:tcPr>
            <w:tcW w:type="dxa" w:w="4723"/>
            <w:tcBorders>
              <w:top w:val="single" w:color="D08A2E" w:sz="48"/>
              <w:left w:val="single" w:color="D08A2E" w:sz="8"/>
              <w:bottom w:val="single" w:color="D08A2E" w:sz="8"/>
              <w:right w:val="single" w:color="D08A2E" w:sz="8"/>
            </w:tcBorders>
            <w:shd w:fill="FBEBD3" w:color="auto" w:val="clear"/>
            <w:tcMar>
              <w:top w:type="dxa" w:w="150"/>
              <w:left w:type="dxa" w:w="140"/>
              <w:bottom w:type="dxa" w:w="1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52"/>
                <w:szCs w:val="52"/>
                <w:rtl/>
              </w:rPr>
              <w:t xml:space="preserve">פרשת פרה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2A1F28"/>
                <w:sz w:val="32"/>
                <w:szCs w:val="32"/>
                <w:rtl/>
              </w:rPr>
              <w:t xml:space="preserve">השבת השלישית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2"/>
                <w:szCs w:val="32"/>
                <w:rtl/>
              </w:rPr>
              <w:t xml:space="preserve">פרה אדומה – טהרה לקראת הפסח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723"/>
            <w:tcBorders>
              <w:top w:val="single" w:color="82456B" w:sz="48"/>
              <w:left w:val="single" w:color="82456B" w:sz="8"/>
              <w:bottom w:val="single" w:color="82456B" w:sz="8"/>
              <w:right w:val="single" w:color="82456B" w:sz="8"/>
            </w:tcBorders>
            <w:shd w:fill="F6EDF2" w:color="auto" w:val="clear"/>
            <w:tcMar>
              <w:top w:type="dxa" w:w="150"/>
              <w:left w:type="dxa" w:w="140"/>
              <w:bottom w:type="dxa" w:w="15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Suez One" w:cs="Suez One" w:hAnsi="Suez One"/>
                <w:b w:val="false"/>
                <w:color w:val="82456B"/>
                <w:sz w:val="52"/>
                <w:szCs w:val="52"/>
                <w:rtl/>
              </w:rPr>
              <w:t xml:space="preserve">פרשת החודש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2A1F28"/>
                <w:sz w:val="32"/>
                <w:szCs w:val="32"/>
                <w:rtl/>
              </w:rPr>
              <w:t xml:space="preserve">השבת הרביעית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2"/>
                <w:szCs w:val="32"/>
                <w:rtl/>
              </w:rPr>
              <w:t xml:space="preserve">«הַחֹדֶשׁ הַזֶּה לָכֶם» – ניסן, ראש החודשים</w:t>
            </w:r>
          </w:p>
        </w:tc>
      </w:tr>
    </w:tbl>
    <w:p>
      <w:pPr>
        <w:bidi/>
        <w:spacing w:after="24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150"/>
              <w:left w:type="dxa" w:w="280"/>
              <w:bottom w:type="dxa" w:w="13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בַּשְּׁנִיָּה, זָכוֹר. בַּשְּׁלִישִׁית, פָּרָה אַדֻמָּה.</w:t>
            </w:r>
          </w:p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בָּרְבִיעִית, הַחֹדֶשׁ הַזֶּה לָכֶם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ג, ד)</w:t>
            </w:r>
          </w:p>
        </w:tc>
      </w:tr>
    </w:tbl>
    <w:p>
      <w:pPr>
        <w:sectPr>
          <w:headerReference w:type="default" r:id="rId25"/>
          <w:footerReference w:type="default" r:id="rId2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ד · משניות א–ב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כמה עולים לתורה?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single" w:color="D08A2E" w:sz="12"/>
          <w:left w:val="single" w:color="D08A2E" w:sz="12"/>
          <w:bottom w:val="single" w:color="D08A2E" w:sz="12"/>
          <w:right w:val="single" w:color="D08A2E" w:sz="12"/>
          <w:insideH w:val="single" w:color="D9C9D3" w:sz="4"/>
          <w:insideV w:val="single" w:color="D9C9D3" w:sz="4"/>
        </w:tblBorders>
        <w:tblLayout w:type="fixed"/>
      </w:tblPr>
      <w:tblGrid>
        <w:gridCol w:w="4903"/>
        <w:gridCol w:w="2452"/>
        <w:gridCol w:w="2451"/>
      </w:tblGrid>
      <w:tr>
        <w:trPr>
          <w:tblHeader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מתי קוראים?</w:t>
            </w: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כמה עולים?</w:t>
            </w:r>
          </w:p>
        </w:tc>
        <w:tc>
          <w:tcPr>
            <w:tcW w:type="dxa" w:w="2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הפטרה בנביא?</w:t>
            </w:r>
          </w:p>
        </w:tc>
      </w:tr>
      <w:tr>
        <w:trPr>
          <w:trHeight w:val="1450" w:hRule="atLeast"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שני, חמישי, ושבת במנחה</w:t>
            </w: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72"/>
                <w:szCs w:val="72"/>
                <w:rtl/>
              </w:rPr>
              <w:t xml:space="preserve">3</w:t>
            </w:r>
          </w:p>
        </w:tc>
        <w:tc>
          <w:tcPr>
            <w:tcW w:type="dxa" w:w="2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2"/>
                <w:szCs w:val="42"/>
                <w:rtl/>
              </w:rPr>
              <w:t xml:space="preserve">לא</w:t>
            </w:r>
          </w:p>
        </w:tc>
      </w:tr>
      <w:tr>
        <w:trPr>
          <w:trHeight w:val="1450" w:hRule="atLeast"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ראשי חודשים וחול המועד</w:t>
            </w: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72"/>
                <w:szCs w:val="72"/>
                <w:rtl/>
              </w:rPr>
              <w:t xml:space="preserve">4</w:t>
            </w:r>
          </w:p>
        </w:tc>
        <w:tc>
          <w:tcPr>
            <w:tcW w:type="dxa" w:w="2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2"/>
                <w:szCs w:val="42"/>
                <w:rtl/>
              </w:rPr>
              <w:t xml:space="preserve">לא</w:t>
            </w:r>
          </w:p>
        </w:tc>
      </w:tr>
      <w:tr>
        <w:trPr>
          <w:trHeight w:val="1450" w:hRule="atLeast"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יום טוב</w:t>
            </w: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72"/>
                <w:szCs w:val="72"/>
                <w:rtl/>
              </w:rPr>
              <w:t xml:space="preserve">5</w:t>
            </w:r>
          </w:p>
        </w:tc>
        <w:tc>
          <w:tcPr>
            <w:tcW w:type="dxa" w:w="2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2"/>
                <w:szCs w:val="42"/>
                <w:rtl/>
              </w:rPr>
              <w:t xml:space="preserve">כן</w:t>
            </w:r>
          </w:p>
        </w:tc>
      </w:tr>
      <w:tr>
        <w:trPr>
          <w:trHeight w:val="1450" w:hRule="atLeast"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יום הכיפורים</w:t>
            </w: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72"/>
                <w:szCs w:val="72"/>
                <w:rtl/>
              </w:rPr>
              <w:t xml:space="preserve">6</w:t>
            </w:r>
          </w:p>
        </w:tc>
        <w:tc>
          <w:tcPr>
            <w:tcW w:type="dxa" w:w="2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2"/>
                <w:szCs w:val="42"/>
                <w:rtl/>
              </w:rPr>
              <w:t xml:space="preserve">כן</w:t>
            </w:r>
          </w:p>
        </w:tc>
      </w:tr>
      <w:tr>
        <w:trPr>
          <w:trHeight w:val="1450" w:hRule="atLeast"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44"/>
                <w:szCs w:val="44"/>
                <w:rtl/>
              </w:rPr>
              <w:t xml:space="preserve">שבת</w:t>
            </w: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72"/>
                <w:szCs w:val="72"/>
                <w:rtl/>
              </w:rPr>
              <w:t xml:space="preserve">7</w:t>
            </w:r>
          </w:p>
        </w:tc>
        <w:tc>
          <w:tcPr>
            <w:tcW w:type="dxa" w:w="2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D6A66"/>
                <w:sz w:val="42"/>
                <w:szCs w:val="42"/>
                <w:rtl/>
              </w:rPr>
              <w:t xml:space="preserve">כן</w:t>
            </w:r>
          </w:p>
        </w:tc>
      </w:tr>
    </w:tbl>
    <w:p>
      <w:pPr>
        <w:bidi/>
        <w:spacing w:after="34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0"/>
                <w:szCs w:val="50"/>
                <w:rtl/>
              </w:rPr>
              <w:t xml:space="preserve">בְּיוֹם טוֹב, חֲמִשָּׁה. בְּיוֹם הַכִּפּוּרִים, שִׁשָּׁה. בְּשַׁבָּת, שִׁבְעָה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ד, ב)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Bold MG" w:cs="Rubik Bold MG" w:hAnsi="Rubik Bold MG"/>
          <w:b w:val="false"/>
          <w:color w:val="5B2245"/>
          <w:sz w:val="40"/>
          <w:szCs w:val="40"/>
          <w:rtl/>
        </w:rPr>
        <w:t xml:space="preserve">ככל שהיום קדוש יותר – עולים יותר לתורה.</w:t>
      </w:r>
    </w:p>
    <w:p>
      <w:pPr>
        <w:sectPr>
          <w:headerReference w:type="default" r:id="rId27"/>
          <w:footerReference w:type="default" r:id="rId2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פרק ד · משנה ג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4"/>
                <w:szCs w:val="84"/>
                <w:rtl/>
              </w:rPr>
              <w:t xml:space="preserve">דברים שבקדושה – בעשרה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873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737"/>
      </w:tblGrid>
      <w:tr>
        <w:tc>
          <w:tcPr>
            <w:tcW w:type="dxa" w:w="8737"/>
            <w:tcBorders>
              <w:top w:val="single" w:color="D08A2E" w:sz="24"/>
              <w:left w:val="single" w:color="D08A2E" w:sz="24"/>
              <w:bottom w:val="single" w:color="D08A2E" w:sz="24"/>
              <w:right w:val="single" w:color="D08A2E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467350" cy="3648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0"/>
                <w:szCs w:val="50"/>
                <w:rtl/>
              </w:rPr>
              <w:t xml:space="preserve">וְאֵין קוֹרִין בַּתּוֹרָה, וְאֵין מַפְטִירִין בַּנָּבִיא ...</w:t>
            </w:r>
          </w:p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50"/>
                <w:szCs w:val="50"/>
                <w:rtl/>
              </w:rPr>
              <w:t xml:space="preserve">פָּחוֹת מֵעֲשָׂרָה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(מגילה ד, ג)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2A1F28"/>
          <w:sz w:val="44"/>
          <w:szCs w:val="44"/>
          <w:rtl/>
        </w:rPr>
        <w:t xml:space="preserve">קריאת התורה, ההפטרה, ברכת כהנים ודברים נוספים שבקדושה נאמרים רק בציבור של עשרה – במניין.</w:t>
      </w:r>
    </w:p>
    <w:p>
      <w:pPr>
        <w:sectPr>
          <w:headerReference w:type="default" r:id="rId29"/>
          <w:footerReference w:type="default" r:id="rId3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כלי ללימוד כל משנה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92"/>
                <w:szCs w:val="92"/>
                <w:rtl/>
              </w:rPr>
              <w:t xml:space="preserve">תרשים כאמד"ט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200" w:before="0" w:line="280" w:lineRule="auto"/>
        <w:jc w:val="center"/>
      </w:pPr>
      <w:r>
        <w:rPr>
          <w:rFonts w:ascii="Rubik Bold MG" w:cs="Rubik Bold MG" w:hAnsi="Rubik Bold MG"/>
          <w:b w:val="false"/>
          <w:color w:val="1D6A66"/>
          <w:sz w:val="38"/>
          <w:szCs w:val="38"/>
          <w:rtl/>
        </w:rPr>
        <w:t xml:space="preserve">חמש שאלות שפותחות כל משנה</w:t>
      </w:r>
    </w:p>
    <w:tbl>
      <w:tblPr>
        <w:bidiVisual/>
        <w:tblW w:type="dxa" w:w="9806"/>
        <w:jc w:val="center"/>
        <w:tblBorders>
          <w:top w:val="single" w:color="D08A2E" w:sz="12"/>
          <w:left w:val="single" w:color="D08A2E" w:sz="12"/>
          <w:bottom w:val="single" w:color="D08A2E" w:sz="12"/>
          <w:right w:val="single" w:color="D08A2E" w:sz="12"/>
          <w:insideH w:val="single" w:color="D9C9D3" w:sz="4"/>
          <w:insideV w:val="single" w:color="D9C9D3" w:sz="4"/>
        </w:tblBorders>
        <w:tblLayout w:type="fixed"/>
      </w:tblPr>
      <w:tblGrid>
        <w:gridCol w:w="1100"/>
        <w:gridCol w:w="2050"/>
        <w:gridCol w:w="3224"/>
        <w:gridCol w:w="3432"/>
      </w:tblGrid>
      <w:tr>
        <w:trPr>
          <w:tblHeader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אות</w:t>
            </w:r>
          </w:p>
        </w:tc>
        <w:tc>
          <w:tcPr>
            <w:tcW w:type="dxa" w:w="2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שלב</w:t>
            </w:r>
          </w:p>
        </w:tc>
        <w:tc>
          <w:tcPr>
            <w:tcW w:type="dxa" w:w="3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שואלים את עצמנו</w:t>
            </w:r>
          </w:p>
        </w:tc>
        <w:tc>
          <w:tcPr>
            <w:tcW w:type="dxa" w:w="3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דוגמה: משנה ג, ג</w:t>
            </w:r>
          </w:p>
        </w:tc>
      </w:tr>
      <w:tr>
        <w:trPr>
          <w:trHeight w:val="175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245" w:color="auto" w:val="clear"/>
            <w:tcMar>
              <w:top w:type="dxa" w:w="4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כ</w:t>
            </w:r>
          </w:p>
        </w:tc>
        <w:tc>
          <w:tcPr>
            <w:tcW w:type="dxa" w:w="2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5B2245"/>
                <w:sz w:val="56"/>
                <w:szCs w:val="56"/>
                <w:rtl/>
              </w:rPr>
              <w:t xml:space="preserve">כותרת</w:t>
            </w:r>
          </w:p>
        </w:tc>
        <w:tc>
          <w:tcPr>
            <w:tcW w:type="dxa" w:w="3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מה הנושא של המשנה?</w:t>
            </w:r>
          </w:p>
        </w:tc>
        <w:tc>
          <w:tcPr>
            <w:tcW w:type="dxa" w:w="3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6"/>
                <w:szCs w:val="36"/>
                <w:rtl/>
              </w:rPr>
              <w:t xml:space="preserve">בית כנסת שחרב</w:t>
            </w:r>
          </w:p>
        </w:tc>
      </w:tr>
      <w:tr>
        <w:trPr>
          <w:trHeight w:val="175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A66" w:color="auto" w:val="clear"/>
            <w:tcMar>
              <w:top w:type="dxa" w:w="4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א</w:t>
            </w:r>
          </w:p>
        </w:tc>
        <w:tc>
          <w:tcPr>
            <w:tcW w:type="dxa" w:w="2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1D6A66"/>
                <w:sz w:val="56"/>
                <w:szCs w:val="56"/>
                <w:rtl/>
              </w:rPr>
              <w:t xml:space="preserve">אומר</w:t>
            </w:r>
          </w:p>
        </w:tc>
        <w:tc>
          <w:tcPr>
            <w:tcW w:type="dxa" w:w="3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מי אומר את הדברים?</w:t>
            </w:r>
          </w:p>
        </w:tc>
        <w:tc>
          <w:tcPr>
            <w:tcW w:type="dxa" w:w="3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6"/>
                <w:szCs w:val="36"/>
                <w:rtl/>
              </w:rPr>
              <w:t xml:space="preserve">רבי יהודה</w:t>
            </w:r>
          </w:p>
        </w:tc>
      </w:tr>
      <w:tr>
        <w:trPr>
          <w:trHeight w:val="175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08A2E" w:color="auto" w:val="clear"/>
            <w:tcMar>
              <w:top w:type="dxa" w:w="4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מ</w:t>
            </w:r>
          </w:p>
        </w:tc>
        <w:tc>
          <w:tcPr>
            <w:tcW w:type="dxa" w:w="2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D08A2E"/>
                <w:sz w:val="56"/>
                <w:szCs w:val="56"/>
                <w:rtl/>
              </w:rPr>
              <w:t xml:space="preserve">מקרה</w:t>
            </w:r>
          </w:p>
        </w:tc>
        <w:tc>
          <w:tcPr>
            <w:tcW w:type="dxa" w:w="3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מה המצב שהמשנה מתארת?</w:t>
            </w:r>
          </w:p>
        </w:tc>
        <w:tc>
          <w:tcPr>
            <w:tcW w:type="dxa" w:w="3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5B2245"/>
                <w:sz w:val="36"/>
                <w:szCs w:val="36"/>
                <w:rtl/>
              </w:rPr>
              <w:t xml:space="preserve">בית הכנסת חרב ועומד שומם</w:t>
            </w:r>
          </w:p>
        </w:tc>
      </w:tr>
      <w:tr>
        <w:trPr>
          <w:trHeight w:val="175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2456B" w:color="auto" w:val="clear"/>
            <w:tcMar>
              <w:top w:type="dxa" w:w="4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ד</w:t>
            </w:r>
          </w:p>
        </w:tc>
        <w:tc>
          <w:tcPr>
            <w:tcW w:type="dxa" w:w="2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82456B"/>
                <w:sz w:val="56"/>
                <w:szCs w:val="56"/>
                <w:rtl/>
              </w:rPr>
              <w:t xml:space="preserve">דין</w:t>
            </w:r>
          </w:p>
        </w:tc>
        <w:tc>
          <w:tcPr>
            <w:tcW w:type="dxa" w:w="3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מה ההלכה במקרה הזה?</w:t>
            </w:r>
          </w:p>
        </w:tc>
        <w:tc>
          <w:tcPr>
            <w:tcW w:type="dxa" w:w="3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0"/>
                <w:szCs w:val="40"/>
                <w:rtl/>
              </w:rPr>
              <w:t xml:space="preserve">וְאֵין עוֹשִׂין אוֹתוֹ קַפַּנְדַּרְיָא</w:t>
            </w:r>
          </w:p>
        </w:tc>
      </w:tr>
      <w:tr>
        <w:trPr>
          <w:trHeight w:val="175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7D78" w:color="auto" w:val="clear"/>
            <w:tcMar>
              <w:top w:type="dxa" w:w="4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ט</w:t>
            </w:r>
          </w:p>
        </w:tc>
        <w:tc>
          <w:tcPr>
            <w:tcW w:type="dxa" w:w="2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Suez One" w:cs="Suez One" w:hAnsi="Suez One"/>
                <w:b w:val="false"/>
                <w:color w:val="2C7D78"/>
                <w:sz w:val="56"/>
                <w:szCs w:val="56"/>
                <w:rtl/>
              </w:rPr>
              <w:t xml:space="preserve">טעם</w:t>
            </w:r>
          </w:p>
        </w:tc>
        <w:tc>
          <w:tcPr>
            <w:tcW w:type="dxa" w:w="3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2A1F28"/>
                <w:sz w:val="38"/>
                <w:szCs w:val="38"/>
                <w:rtl/>
              </w:rPr>
              <w:t xml:space="preserve">למה? מה הנימוק?</w:t>
            </w:r>
          </w:p>
        </w:tc>
        <w:tc>
          <w:tcPr>
            <w:tcW w:type="dxa" w:w="3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0"/>
                <w:szCs w:val="40"/>
                <w:rtl/>
              </w:rPr>
              <w:t xml:space="preserve">קְדֻשָּׁתָן אַף כְּשֶׁהֵן שׁוֹמְמִין</w:t>
            </w:r>
          </w:p>
        </w:tc>
      </w:tr>
    </w:tbl>
    <w:p>
      <w:pPr>
        <w:bidi/>
        <w:spacing w:after="28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280" w:lineRule="auto"/>
        <w:jc w:val="center"/>
      </w:pPr>
      <w:r>
        <w:rPr>
          <w:rFonts w:ascii="Rubik Medium MG" w:cs="Rubik Medium MG" w:hAnsi="Rubik Medium MG"/>
          <w:b w:val="false"/>
          <w:color w:val="6A5F66"/>
          <w:sz w:val="34"/>
          <w:szCs w:val="34"/>
          <w:rtl/>
        </w:rPr>
        <w:t xml:space="preserve">לא בכל משנה יש אומר או טעם – ואז כותבים: «לא מופיע במשנה».</w:t>
      </w:r>
    </w:p>
    <w:p>
      <w:pPr>
        <w:sectPr>
          <w:headerReference w:type="default" r:id="rId31"/>
          <w:footerReference w:type="default" r:id="rId3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5B2245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D08A2E" w:sz="24"/>
              <w:left w:val="none" w:color="FFFFFF" w:sz="0"/>
              <w:bottom w:val="single" w:color="1D6A66" w:sz="24"/>
              <w:right w:val="none" w:color="FFFFFF" w:sz="0"/>
            </w:tcBorders>
            <w:shd w:fill="5B2245" w:color="auto" w:val="clear"/>
            <w:tcMar>
              <w:top w:type="dxa" w:w="190"/>
              <w:left w:type="dxa" w:w="140"/>
              <w:bottom w:type="dxa" w:w="21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3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F3C98A"/>
                <w:sz w:val="32"/>
                <w:szCs w:val="32"/>
                <w:rtl/>
              </w:rPr>
              <w:t xml:space="preserve">סיימנו את המסכת!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hAnsi="Suez One"/>
                <w:b w:val="false"/>
                <w:color w:val="FFFFFF"/>
                <w:sz w:val="88"/>
                <w:szCs w:val="88"/>
                <w:rtl/>
              </w:rPr>
              <w:t xml:space="preserve">הַדְרָן עֲלָךְ מַסֶּכֶת מְגִלָּה</w:t>
            </w:r>
          </w:p>
        </w:tc>
      </w:tr>
    </w:tbl>
    <w:p>
      <w:pPr>
        <w:bidi/>
        <w:spacing w:after="28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839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97"/>
      </w:tblGrid>
      <w:tr>
        <w:tc>
          <w:tcPr>
            <w:tcW w:type="dxa" w:w="8397"/>
            <w:tcBorders>
              <w:top w:val="single" w:color="D08A2E" w:sz="24"/>
              <w:left w:val="single" w:color="D08A2E" w:sz="24"/>
              <w:bottom w:val="single" w:color="D08A2E" w:sz="24"/>
              <w:right w:val="single" w:color="D08A2E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257800" cy="3505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350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D08A2E" w:sz="18"/>
              <w:left w:val="single" w:color="D08A2E" w:sz="18"/>
              <w:bottom w:val="single" w:color="D08A2E" w:sz="18"/>
              <w:right w:val="thick" w:color="1D6A66" w:sz="48"/>
            </w:tcBorders>
            <w:shd w:fill="FDF8F2" w:color="auto" w:val="clear"/>
            <w:tcMar>
              <w:top w:type="dxa" w:w="200"/>
              <w:left w:type="dxa" w:w="280"/>
              <w:bottom w:type="dxa" w:w="170"/>
              <w:right w:type="dxa" w:w="280"/>
            </w:tcMar>
            <w:vAlign w:val="center"/>
          </w:tcPr>
          <w:p>
            <w:pPr>
              <w:keepNext w:val="false"/>
              <w:keepLines/>
              <w:bidi/>
              <w:spacing w:after="40" w:before="0" w:line="32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הֲדְרָן עֲלָךְ מַסֶּכֶת מְגִלָּה וַהֲדְרָךְ עֲלָן,</w:t>
            </w:r>
          </w:p>
          <w:p>
            <w:pPr>
              <w:keepNext w:val="false"/>
              <w:keepLines/>
              <w:bidi/>
              <w:spacing w:after="80" w:before="0" w:line="320" w:lineRule="auto"/>
              <w:jc w:val="center"/>
            </w:pPr>
            <w:r>
              <w:rPr>
                <w:rFonts w:ascii="Frank Ruhl TB" w:cs="Frank Ruhl TB" w:hAnsi="Frank Ruhl TB"/>
                <w:b/>
                <w:bCs/>
                <w:color w:val="5B2245"/>
                <w:sz w:val="46"/>
                <w:szCs w:val="46"/>
                <w:rtl/>
              </w:rPr>
              <w:t xml:space="preserve">דַּעְתָּן עֲלָךְ מַסֶּכֶת מְגִלָּה וְדַעְתָּךְ עֲלָן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D6A66"/>
                <w:sz w:val="30"/>
                <w:szCs w:val="30"/>
                <w:rtl/>
              </w:rPr>
              <w:t xml:space="preserve">(מנוסח הסיום)</w:t>
            </w:r>
          </w:p>
        </w:tc>
      </w:tr>
    </w:tbl>
    <w:p>
      <w:pPr>
        <w:bidi/>
        <w:spacing w:after="280" w:before="0" w:line="60" w:lineRule="exact"/>
        <w:jc w:val="center"/>
      </w:pPr>
      <w:r>
        <w:rPr>
          <w:rFonts w:ascii="Rubik MG" w:cs="Rubik MG" w:hAnsi="Rubik MG"/>
          <w:b w:val="false"/>
          <w:color w:val="2A1F28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edium MG" w:cs="Rubik Medium MG" w:hAnsi="Rubik Medium MG"/>
          <w:b w:val="false"/>
          <w:color w:val="5B2245"/>
          <w:sz w:val="46"/>
          <w:szCs w:val="46"/>
          <w:rtl/>
        </w:rPr>
        <w:t xml:space="preserve">«הדרן» – נחזור אלייך, מסכת מגילה.</w:t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edium MG" w:cs="Rubik Medium MG" w:hAnsi="Rubik Medium MG"/>
          <w:b w:val="false"/>
          <w:color w:val="5B2245"/>
          <w:sz w:val="46"/>
          <w:szCs w:val="46"/>
          <w:rtl/>
        </w:rPr>
        <w:t xml:space="preserve">מה שלמדנו נשאר איתנו – ונשוב ללמוד שוב!</w:t>
      </w:r>
    </w:p>
    <w:sectPr>
      <w:headerReference w:type="default" r:id="rId33"/>
      <w:footerReference w:type="default" r:id="rId34"/>
      <w:pgSz w:w="11906" w:h="16838" w:orient="portrait"/>
      <w:pgMar w:top="900" w:right="1050" w:bottom="900" w:left="105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20cc618d-4156-0d3f-7e33-dbcfe6858c86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02e6ffe6-4279-09ca-c7fb-295d66dd522c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e7088918-db0d-095b-d42e-63f35087c33c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8ebb9bed-7949-4bab-354c-cc77a52afb9f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28fd1d14-1317-0a53-d118-14bf29bdf5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6A5F66"/>
        <w:sz w:val="24"/>
        <w:szCs w:val="24"/>
        <w:rtl/>
      </w:rPr>
      <w:t xml:space="preserve">מסכת מגילה · כיתה ז'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sz w:val="28"/>
        <w:szCs w:val="28"/>
        <w:rtl/>
      </w:rPr>
    </w:rPrDefault>
    <w:pPrDefault>
      <w:pPr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header" Target="header13.xml"/><Relationship Id="rId32" Type="http://schemas.openxmlformats.org/officeDocument/2006/relationships/footer" Target="footer13.xml"/><Relationship Id="rId33" Type="http://schemas.openxmlformats.org/officeDocument/2006/relationships/header" Target="header14.xml"/><Relationship Id="rId34" Type="http://schemas.openxmlformats.org/officeDocument/2006/relationships/footer" Target="footer14.xml"/><Relationship Id="rId35" Type="http://schemas.openxmlformats.org/officeDocument/2006/relationships/image" Target="media/385e125a0fbaa070cc25fd5c413126f3fced0b1d.jpg"/><Relationship Id="rId36" Type="http://schemas.openxmlformats.org/officeDocument/2006/relationships/image" Target="media/095d28306e7f0ad52576dd631cedf1af06ccfe4b.jpg"/><Relationship Id="rId37" Type="http://schemas.openxmlformats.org/officeDocument/2006/relationships/image" Target="media/3a9c92a956167c1b35926fbb36c75ef51df9edcd.jpg"/><Relationship Id="rId38" Type="http://schemas.openxmlformats.org/officeDocument/2006/relationships/image" Target="media/59ce5fcb403ab599bb159622568eccc0a71440f1.jpg"/><Relationship Id="rId39" Type="http://schemas.openxmlformats.org/officeDocument/2006/relationships/image" Target="media/2f7eb04171155b5807893b14d5cb3b0a46ab0864.jpg"/><Relationship Id="rId40" Type="http://schemas.openxmlformats.org/officeDocument/2006/relationships/image" Target="media/85b2965de7ba8fb47672f562bfdcdc9ee22b5a88.jpg"/><Relationship Id="rId41" Type="http://schemas.openxmlformats.org/officeDocument/2006/relationships/image" Target="media/70268935c5f320855cdfb2e36be5e1094563bbac.jpg"/><Relationship Id="rId42" Type="http://schemas.openxmlformats.org/officeDocument/2006/relationships/image" Target="media/2e3b7caf2e544035f636fe949d4f5e4e18194ed7.jpg"/><Relationship Id="rId43" Type="http://schemas.openxmlformats.org/officeDocument/2006/relationships/image" Target="media/72d914068482dcfb3095009fab5ffa2818db7f77.jp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cdb24ba70e1f3e95dad6a7e53d5064799f9a0f5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שלטים לכיתה</dc:title>
  <cp:revision>1</cp:revision>
  <dcterms:created xsi:type="dcterms:W3CDTF">2026-10-23T04:36:58.442Z</dcterms:created>
  <dcterms:modified xsi:type="dcterms:W3CDTF">2026-10-23T04:36:58.443Z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