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2.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4.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header+xml" PartName="/word/header7.xml"/>
  <Override ContentType="application/vnd.openxmlformats-officedocument.wordprocessingml.footer+xml" PartName="/word/footer6.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header+xml" PartName="/word/header9.xml"/>
  <Override ContentType="application/vnd.openxmlformats-officedocument.wordprocessingml.footer+xml" PartName="/word/footer8.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header+xml" PartName="/word/header11.xml"/>
  <Override ContentType="application/vnd.openxmlformats-officedocument.wordprocessingml.footer+xml" PartName="/word/footer10.xml"/>
  <Override ContentType="application/vnd.openxmlformats-officedocument.wordprocessingml.header+xml" PartName="/word/header12.xml"/>
  <Override ContentType="application/vnd.openxmlformats-officedocument.wordprocessingml.footer+xml" PartName="/word/footer1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900" w:lineRule="exact"/>
      </w:pPr>
      <w:r>
        <w:rPr>
          <w:rFonts w:ascii="Rubik MG" w:cs="Rubik MG" w:eastAsia="Rubik MG" w:hAnsi="Rubik MG"/>
          <w:b w:val="false"/>
          <w:color w:val="2A1F28"/>
          <w:sz w:val="8"/>
          <w:szCs w:val="8"/>
          <w:rtl/>
        </w:rPr>
        <w:t xml:space="preserve"> </w:t>
      </w:r>
    </w:p>
    <w:p>
      <w:pPr>
        <w:keepNext w:val="false"/>
        <w:keepLines/>
        <w:bidi/>
        <w:spacing w:after="40" w:before="0" w:line="300" w:lineRule="auto"/>
        <w:jc w:val="center"/>
      </w:pPr>
      <w:r>
        <w:rPr>
          <w:rFonts w:ascii="Rubik Medium MG" w:cs="Rubik Medium MG" w:eastAsia="Rubik Medium MG" w:hAnsi="Rubik Medium MG"/>
          <w:b w:val="false"/>
          <w:color w:val="FFFFFF"/>
          <w:sz w:val="30"/>
          <w:szCs w:val="30"/>
          <w:rtl/>
        </w:rPr>
        <w:t xml:space="preserve">משנה · חמ"ד</w:t>
      </w:r>
    </w:p>
    <w:p>
      <w:pPr>
        <w:keepNext w:val="false"/>
        <w:keepLines/>
        <w:bidi/>
        <w:spacing w:after="40" w:before="0" w:line="240" w:lineRule="auto"/>
        <w:jc w:val="center"/>
      </w:pPr>
      <w:r>
        <w:rPr>
          <w:rFonts w:ascii="Suez One" w:cs="Suez One" w:eastAsia="Suez One" w:hAnsi="Suez One"/>
          <w:b w:val="false"/>
          <w:color w:val="FFFFFF"/>
          <w:sz w:val="128"/>
          <w:szCs w:val="128"/>
          <w:rtl/>
        </w:rPr>
        <w:t xml:space="preserve">מסכת מגילה</w:t>
      </w:r>
    </w:p>
    <w:p>
      <w:pPr>
        <w:keepNext w:val="false"/>
        <w:bidi/>
        <w:spacing w:after="1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428750" cy="104775"/>
                    </a:xfrm>
                    <a:prstGeom prst="rect">
                      <a:avLst/>
                    </a:prstGeom>
                  </pic:spPr>
                </pic:pic>
              </a:graphicData>
            </a:graphic>
          </wp:inline>
        </w:drawing>
      </w:r>
    </w:p>
    <w:p>
      <w:pPr>
        <w:keepNext w:val="false"/>
        <w:keepLines/>
        <w:bidi/>
        <w:spacing w:after="0" w:before="0" w:line="300" w:lineRule="auto"/>
        <w:jc w:val="center"/>
      </w:pPr>
      <w:r>
        <w:rPr>
          <w:rFonts w:ascii="Rubik Bold MG" w:cs="Rubik Bold MG" w:eastAsia="Rubik Bold MG" w:hAnsi="Rubik Bold MG"/>
          <w:b w:val="false"/>
          <w:color w:val="FFF6DC"/>
          <w:sz w:val="34"/>
          <w:szCs w:val="34"/>
          <w:rtl/>
        </w:rPr>
        <w:t xml:space="preserve">כיתה ז' · חוברת עבודה לתלמיד</w:t>
      </w:r>
    </w:p>
    <w:p>
      <w:pPr>
        <w:spacing w:after="0" w:before="0" w:line="730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FFFFF" w:color="auto" w:val="clear"/>
            <w:tcMar>
              <w:top w:type="dxa" w:w="120"/>
              <w:left w:type="dxa" w:w="300"/>
              <w:bottom w:type="dxa" w:w="120"/>
              <w:right w:type="dxa" w:w="300"/>
            </w:tcMar>
          </w:tcPr>
          <w:p>
            <w:pPr>
              <w:keepNext w:val="false"/>
              <w:keepLines/>
              <w:bidi/>
              <w:spacing w:after="0" w:before="0" w:line="300" w:lineRule="auto"/>
              <w:jc w:val="center"/>
            </w:pPr>
            <w:r>
              <w:rPr>
                <w:rFonts w:ascii="Rubik Medium MG" w:cs="Rubik Medium MG" w:eastAsia="Rubik Medium MG" w:hAnsi="Rubik Medium MG"/>
                <w:b w:val="false"/>
                <w:color w:val="5B2245"/>
                <w:sz w:val="26"/>
                <w:szCs w:val="26"/>
                <w:rtl/>
              </w:rPr>
              <w:t xml:space="preserve">שם התלמיד: </w:t>
            </w:r>
            <w:r>
              <w:rPr>
                <w:rFonts w:ascii="Rubik Medium MG" w:cs="Rubik Medium MG" w:eastAsia="Rubik Medium MG" w:hAnsi="Rubik Medium MG"/>
                <w:b w:val="false"/>
                <w:color w:val="A69AA2"/>
                <w:sz w:val="26"/>
                <w:szCs w:val="26"/>
                <w:rtl/>
              </w:rPr>
              <w:t xml:space="preserve">________________</w:t>
            </w:r>
            <w:r>
              <w:rPr>
                <w:rFonts w:ascii="Rubik Medium MG" w:cs="Rubik Medium MG" w:eastAsia="Rubik Medium MG" w:hAnsi="Rubik Medium MG"/>
                <w:b w:val="false"/>
                <w:color w:val="5B2245"/>
                <w:sz w:val="26"/>
                <w:szCs w:val="26"/>
                <w:rtl/>
              </w:rPr>
              <w:t xml:space="preserve">     כיתה: </w:t>
            </w:r>
            <w:r>
              <w:rPr>
                <w:rFonts w:ascii="Rubik Medium MG" w:cs="Rubik Medium MG" w:eastAsia="Rubik Medium MG" w:hAnsi="Rubik Medium MG"/>
                <w:b w:val="false"/>
                <w:color w:val="A69AA2"/>
                <w:sz w:val="26"/>
                <w:szCs w:val="26"/>
                <w:rtl/>
              </w:rPr>
              <w:t xml:space="preserve">______</w:t>
            </w:r>
          </w:p>
        </w:tc>
      </w:tr>
    </w:tbl>
    <w:p>
      <w:pPr>
        <w:spacing w:after="0" w:before="0" w:line="30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BF6EA" w:color="auto" w:val="clear"/>
            <w:tcMar>
              <w:top w:type="dxa" w:w="110"/>
              <w:left w:type="dxa" w:w="300"/>
              <w:bottom w:type="dxa" w:w="100"/>
              <w:right w:type="dxa" w:w="300"/>
            </w:tcMar>
          </w:tcPr>
          <w:p>
            <w:pPr>
              <w:keepNext w:val="false"/>
              <w:keepLines/>
              <w:bidi/>
              <w:spacing w:after="20" w:before="0" w:line="300" w:lineRule="auto"/>
              <w:jc w:val="center"/>
            </w:pPr>
            <w:r>
              <w:rPr>
                <w:rFonts w:ascii="Frank Ruhl TB Bold" w:cs="Frank Ruhl TB Bold" w:eastAsia="Frank Ruhl TB Bold" w:hAnsi="Frank Ruhl TB Bold"/>
                <w:b w:val="false"/>
                <w:color w:val="5B2245"/>
                <w:sz w:val="34"/>
                <w:szCs w:val="34"/>
                <w:rtl/>
              </w:rPr>
              <w:t xml:space="preserve">לַיְּהוּדִים הָיְתָה אוֹרָה וְשִׂמְחָה וְשָׂשֹׂן וִיקָר</w:t>
            </w:r>
          </w:p>
          <w:p>
            <w:pPr>
              <w:keepNext w:val="false"/>
              <w:keepLines/>
              <w:bidi/>
              <w:spacing w:after="0" w:before="0" w:line="300" w:lineRule="auto"/>
              <w:jc w:val="center"/>
            </w:pPr>
            <w:r>
              <w:rPr>
                <w:rFonts w:ascii="Rubik Medium MG" w:cs="Rubik Medium MG" w:eastAsia="Rubik Medium MG" w:hAnsi="Rubik Medium MG"/>
                <w:b w:val="false"/>
                <w:color w:val="A3541C"/>
                <w:sz w:val="22"/>
                <w:szCs w:val="22"/>
                <w:rtl/>
              </w:rPr>
              <w:t xml:space="preserve">(אסתר ח, טז)</w:t>
            </w:r>
          </w:p>
        </w:tc>
      </w:tr>
    </w:tbl>
    <w:p>
      <w:pPr>
        <w:sectPr>
          <w:headerReference w:type="default" r:id="rId7"/>
          <w:pgSz w:w="11906" w:h="16838" w:orient="portrait"/>
          <w:pgMar w:top="700" w:right="1000" w:bottom="600" w:left="1000" w:header="300" w:footer="30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24"/>
                <w:szCs w:val="24"/>
                <w:rtl/>
              </w:rPr>
              <w:t xml:space="preserve">מסכת מגילה</w:t>
            </w:r>
          </w:p>
          <w:p>
            <w:pPr>
              <w:keepNext/>
              <w:keepLines/>
              <w:bidi/>
              <w:spacing w:after="60" w:before="0" w:line="240" w:lineRule="auto"/>
              <w:jc w:val="both"/>
            </w:pPr>
            <w:r>
              <w:rPr>
                <w:rFonts w:ascii="Suez One" w:cs="Suez One" w:eastAsia="Suez One" w:hAnsi="Suez One"/>
                <w:b w:val="false"/>
                <w:color w:val="5B2245"/>
                <w:sz w:val="51"/>
                <w:szCs w:val="51"/>
                <w:rtl/>
              </w:rPr>
              <w:t xml:space="preserve">מבוא – לתלמיד</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שלום לך, תלמיד יקר! בחוברת זו נלמד יחד את מסכת מגילה – מסכת שעוסקת בקריאת המגילה בפורים, וגם בקדושת בית הכנסת, בקריאת התורה ובהפטרות שאנו קוראים בבית הכנסת במשך השנה.</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המסכת מחולקת לארבעה פרקים, וכל פרק מחולק ליחידות. בכל יחידה תמצא את המשנה המלאה ואת פירוש רבי עובדיה מברטנורא, ואחריהם פינות לימוד קבועות:</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7429"/>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הפינה</w:t>
                  </w:r>
                </w:p>
              </w:tc>
              <w:tc>
                <w:tcPr>
                  <w:tcW w:type="dxa" w:w="7429"/>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עושים בה?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מילון המשנה</w:t>
                  </w:r>
                </w:p>
              </w:tc>
              <w:tc>
                <w:tcPr>
                  <w:tcW w:type="dxa" w:w="7429"/>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מכירים מילים ומושגים חדשים מן המשנה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תרשים כאמד"ט</w:t>
                  </w:r>
                </w:p>
              </w:tc>
              <w:tc>
                <w:tcPr>
                  <w:tcW w:type="dxa" w:w="7429"/>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מסדרים את ההלכה: כותרת · אומר · מקרה · דין · טעם</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מבינים את המשנה</w:t>
                  </w:r>
                </w:p>
              </w:tc>
              <w:tc>
                <w:tcPr>
                  <w:tcW w:type="dxa" w:w="7429"/>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עונים על שאלות הבנה ומוצאים תשובות בתוך המשנה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עיון בברטנורא</w:t>
                  </w:r>
                </w:p>
              </w:tc>
              <w:tc>
                <w:tcPr>
                  <w:tcW w:type="dxa" w:w="7429"/>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את דברי הברטנורא ומבינים מה הוא מסביר</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מחלוקת במשנה</w:t>
                  </w:r>
                </w:p>
              </w:tc>
              <w:tc>
                <w:tcPr>
                  <w:tcW w:type="dxa" w:w="7429"/>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מזהים מי אומר מה, ומה הסברה של כל צד</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אמת או טעות? · זוגות מתאימים · מה ההבדל?</w:t>
                  </w:r>
                </w:p>
              </w:tc>
              <w:tc>
                <w:tcPr>
                  <w:tcW w:type="dxa" w:w="7429"/>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בודקים ומתרגלים את מה שלמדנו</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המשנה בחיינו · חושבים לעומק</w:t>
                  </w:r>
                </w:p>
              </w:tc>
              <w:tc>
                <w:tcPr>
                  <w:tcW w:type="dxa" w:w="7429"/>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מחברים את המשנה לחיים שלנו ומעמיקים במחשבה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איך משתמשים בו?</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כאשר לומדים הלכה במשנה, שואלים חמש שאלות: מה הנושא (כותרת)? מי אומר את ההלכה (אומר)? באיזה מצב מדובר (מקרה)? מה עושים (דין)? ולמה (טעם)? את התשובות כותבים בטבלה, וכך ההלכה מסודרת וברורה.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בתחילת כל יחידה תמצא את «המטרות שלי ביחידה», ובסופה – «במשפט אחד»: שם תכתוב בקצרה את הדבר החשוב ביותר שלמדת. בסוף כל פרק יש דף חזרה.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בהצלחה רבה, ושנזכה ללמוד וללמד, לשמור ולעשות!</w:t>
      </w:r>
    </w:p>
    <w:p>
      <w:pPr>
        <w:sectPr>
          <w:headerReference w:type="default" r:id="rId8"/>
          <w:footerReference w:type="default" r:id="rId9"/>
          <w:pgSz w:w="11906" w:h="16838" w:orient="portrait"/>
          <w:pgMar w:top="1380" w:right="1000" w:bottom="1150" w:left="1000" w:header="330" w:footer="420" w:gutter="0"/>
          <w:pgNumType w:start="2"/>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4"/>
          <w:szCs w:val="24"/>
          <w:rtl/>
        </w:rPr>
        <w:t xml:space="preserve">מסכת מגילה</w:t>
      </w:r>
    </w:p>
    <w:p>
      <w:pPr>
        <w:keepNext/>
        <w:keepLines/>
        <w:bidi/>
        <w:spacing w:after="60" w:before="0" w:line="240" w:lineRule="auto"/>
        <w:jc w:val="both"/>
      </w:pPr>
      <w:r>
        <w:rPr>
          <w:rFonts w:ascii="Suez One" w:cs="Suez One" w:eastAsia="Suez One" w:hAnsi="Suez One"/>
          <w:b w:val="false"/>
          <w:color w:val="5B2245"/>
          <w:sz w:val="51"/>
          <w:szCs w:val="51"/>
          <w:rtl/>
        </w:rPr>
        <w:t xml:space="preserve">תוכן העניינים</w:t>
      </w:r>
    </w:p>
    <w:p>
      <w:pPr>
        <w:keepNext/>
        <w:bidi/>
        <w:spacing w:after="24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06"/>
        <w:gridCol w:w="1300"/>
      </w:tblGrid>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60"/>
              <w:left w:type="dxa" w:w="110"/>
              <w:bottom w:type="dxa" w:w="60"/>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5"/>
                <w:szCs w:val="25"/>
                <w:rtl/>
              </w:rPr>
              <w:t xml:space="preserve">פרק ראשון – מגילה נקראת  ·  משניות א–יא</w:t>
            </w:r>
          </w:p>
        </w:tc>
        <w:tc>
          <w:tcPr>
            <w:tcW w:type="dxa" w:w="1300"/>
            <w:tcBorders>
              <w:top w:val="single" w:color="1D6A66" w:sz="4"/>
              <w:left w:val="single" w:color="1D6A66" w:sz="4"/>
              <w:bottom w:val="single" w:color="1D6A66" w:sz="4"/>
              <w:right w:val="single" w:color="1D6A66" w:sz="4"/>
            </w:tcBorders>
            <w:shd w:fill="1D6A66" w:color="auto" w:val="clear"/>
            <w:tcMar>
              <w:top w:type="dxa" w:w="60"/>
              <w:left w:type="dxa" w:w="110"/>
              <w:bottom w:type="dxa" w:w="60"/>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4"/>
                <w:szCs w:val="24"/>
                <w:rtl/>
              </w:rPr>
              <w:t xml:space="preserve">4</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מתי קוראים את המגילה?</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5</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יום הכניסה – כיצד?</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9</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עיר גדולה ושנה מעוברת</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13</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אין בין – שבת, יום טוב ונדרים</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17</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אין בין – טומאה וטהרה, ספרים ותפילין</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21</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אין בין – כהן גדול, במות, שילה וירושלים</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25</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חזרה – פרק ראשון</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29</w:t>
            </w:r>
          </w:p>
        </w:tc>
      </w:tr>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60"/>
              <w:left w:type="dxa" w:w="110"/>
              <w:bottom w:type="dxa" w:w="60"/>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5"/>
                <w:szCs w:val="25"/>
                <w:rtl/>
              </w:rPr>
              <w:t xml:space="preserve">פרק שני – הקורא למפרע  ·  משניות א–ו</w:t>
            </w:r>
          </w:p>
        </w:tc>
        <w:tc>
          <w:tcPr>
            <w:tcW w:type="dxa" w:w="1300"/>
            <w:tcBorders>
              <w:top w:val="single" w:color="1D6A66" w:sz="4"/>
              <w:left w:val="single" w:color="1D6A66" w:sz="4"/>
              <w:bottom w:val="single" w:color="1D6A66" w:sz="4"/>
              <w:right w:val="single" w:color="1D6A66" w:sz="4"/>
            </w:tcBorders>
            <w:shd w:fill="1D6A66" w:color="auto" w:val="clear"/>
            <w:tcMar>
              <w:top w:type="dxa" w:w="60"/>
              <w:left w:type="dxa" w:w="110"/>
              <w:bottom w:type="dxa" w:w="60"/>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4"/>
                <w:szCs w:val="24"/>
                <w:rtl/>
              </w:rPr>
              <w:t xml:space="preserve">33</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איך קוראים את המגילה?</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34</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בן עיר ובן כרך · מי כשר לקרוא?</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38</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כל היום כשר, כל הלילה כשר</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41</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חזרה – פרק שני</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44</w:t>
            </w:r>
          </w:p>
        </w:tc>
      </w:tr>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60"/>
              <w:left w:type="dxa" w:w="110"/>
              <w:bottom w:type="dxa" w:w="60"/>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5"/>
                <w:szCs w:val="25"/>
                <w:rtl/>
              </w:rPr>
              <w:t xml:space="preserve">פרק שלישי – בני העיר  ·  משניות א–ו</w:t>
            </w:r>
          </w:p>
        </w:tc>
        <w:tc>
          <w:tcPr>
            <w:tcW w:type="dxa" w:w="1300"/>
            <w:tcBorders>
              <w:top w:val="single" w:color="1D6A66" w:sz="4"/>
              <w:left w:val="single" w:color="1D6A66" w:sz="4"/>
              <w:bottom w:val="single" w:color="1D6A66" w:sz="4"/>
              <w:right w:val="single" w:color="1D6A66" w:sz="4"/>
            </w:tcBorders>
            <w:shd w:fill="1D6A66" w:color="auto" w:val="clear"/>
            <w:tcMar>
              <w:top w:type="dxa" w:w="60"/>
              <w:left w:type="dxa" w:w="110"/>
              <w:bottom w:type="dxa" w:w="60"/>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4"/>
                <w:szCs w:val="24"/>
                <w:rtl/>
              </w:rPr>
              <w:t xml:space="preserve">47</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קדושת בית הכנסת – מכירה וקנייה</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48</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כבוד בית הכנסת</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52</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ארבע פרשיות</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55</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קריאת התורה במועדים</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59</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חזרה – פרק שלישי</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63</w:t>
            </w:r>
          </w:p>
        </w:tc>
      </w:tr>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60"/>
              <w:left w:type="dxa" w:w="110"/>
              <w:bottom w:type="dxa" w:w="60"/>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5"/>
                <w:szCs w:val="25"/>
                <w:rtl/>
              </w:rPr>
              <w:t xml:space="preserve">פרק רביעי – הקורא עומד  ·  משניות א–י</w:t>
            </w:r>
          </w:p>
        </w:tc>
        <w:tc>
          <w:tcPr>
            <w:tcW w:type="dxa" w:w="1300"/>
            <w:tcBorders>
              <w:top w:val="single" w:color="1D6A66" w:sz="4"/>
              <w:left w:val="single" w:color="1D6A66" w:sz="4"/>
              <w:bottom w:val="single" w:color="1D6A66" w:sz="4"/>
              <w:right w:val="single" w:color="1D6A66" w:sz="4"/>
            </w:tcBorders>
            <w:shd w:fill="1D6A66" w:color="auto" w:val="clear"/>
            <w:tcMar>
              <w:top w:type="dxa" w:w="60"/>
              <w:left w:type="dxa" w:w="110"/>
              <w:bottom w:type="dxa" w:w="60"/>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4"/>
                <w:szCs w:val="24"/>
                <w:rtl/>
              </w:rPr>
              <w:t xml:space="preserve">66</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כמה עולים לתורה?</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67</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דברים שבקדושה וסדר הקריאה</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71</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המפטיר והקטן</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75</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נשיאת כפיים ושליח הציבור</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78</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נוסחים שאין אומרים, ופרשיות שאין מתרגמים</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82</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חזרה – פרק רביעי</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85</w:t>
            </w:r>
          </w:p>
        </w:tc>
      </w:tr>
    </w:tbl>
    <w:p>
      <w:pPr>
        <w:sectPr>
          <w:headerReference w:type="default" r:id="rId10"/>
          <w:footerReference w:type="default" r:id="rId11"/>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2A1F28"/>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A3541C"/>
          <w:sz w:val="25"/>
          <w:szCs w:val="25"/>
          <w:rtl/>
        </w:rPr>
        <w:t xml:space="preserve">מסכת מגילה</w:t>
      </w:r>
    </w:p>
    <w:p>
      <w:pPr>
        <w:keepNext w:val="false"/>
        <w:keepLines/>
        <w:bidi/>
        <w:spacing w:after="20" w:before="0" w:line="240" w:lineRule="auto"/>
        <w:jc w:val="center"/>
      </w:pPr>
      <w:r>
        <w:rPr>
          <w:rFonts w:ascii="Suez One" w:cs="Suez One" w:eastAsia="Suez One" w:hAnsi="Suez One"/>
          <w:b w:val="false"/>
          <w:color w:val="5B2245"/>
          <w:sz w:val="75"/>
          <w:szCs w:val="75"/>
          <w:rtl/>
        </w:rPr>
        <w:t xml:space="preserve">פרק ראשון – מגילה נקראת</w:t>
      </w:r>
    </w:p>
    <w:p>
      <w:pPr>
        <w:keepNext w:val="false"/>
        <w:keepLines/>
        <w:bidi/>
        <w:spacing w:after="60" w:before="0" w:line="300" w:lineRule="auto"/>
        <w:jc w:val="center"/>
      </w:pPr>
      <w:r>
        <w:rPr>
          <w:rFonts w:ascii="Rubik Medium MG" w:cs="Rubik Medium MG" w:eastAsia="Rubik Medium MG" w:hAnsi="Rubik Medium MG"/>
          <w:b w:val="false"/>
          <w:color w:val="1D6A66"/>
          <w:sz w:val="26"/>
          <w:szCs w:val="26"/>
          <w:rtl/>
        </w:rPr>
        <w:t xml:space="preserve">משניות א–יא</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6EDF2"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5B2245"/>
                <w:sz w:val="24"/>
                <w:szCs w:val="24"/>
                <w:rtl/>
              </w:rPr>
              <w:t xml:space="preserve">מתי קוראים את המגילה?</w:t>
            </w:r>
            <w:r>
              <w:rPr>
                <w:rFonts w:ascii="Rubik Bold MG" w:cs="Rubik Bold MG" w:eastAsia="Rubik Bold MG" w:hAnsi="Rubik Bold MG"/>
                <w:b w:val="false"/>
                <w:color w:val="A3541C"/>
                <w:sz w:val="23"/>
                <w:szCs w:val="23"/>
                <w:rtl/>
              </w:rPr>
              <w:t xml:space="preserve">   ·   עמוד 5</w:t>
            </w:r>
          </w:p>
          <w:p>
            <w:pPr>
              <w:bidi/>
              <w:spacing w:after="50" w:before="0"/>
              <w:jc w:val="both"/>
            </w:pPr>
            <w:r>
              <w:rPr>
                <w:rFonts w:ascii="Rubik Medium MG" w:cs="Rubik Medium MG" w:eastAsia="Rubik Medium MG" w:hAnsi="Rubik Medium MG"/>
                <w:b w:val="false"/>
                <w:color w:val="5B2245"/>
                <w:sz w:val="24"/>
                <w:szCs w:val="24"/>
                <w:rtl/>
              </w:rPr>
              <w:t xml:space="preserve">יום הכניסה – כיצד?</w:t>
            </w:r>
            <w:r>
              <w:rPr>
                <w:rFonts w:ascii="Rubik Bold MG" w:cs="Rubik Bold MG" w:eastAsia="Rubik Bold MG" w:hAnsi="Rubik Bold MG"/>
                <w:b w:val="false"/>
                <w:color w:val="A3541C"/>
                <w:sz w:val="23"/>
                <w:szCs w:val="23"/>
                <w:rtl/>
              </w:rPr>
              <w:t xml:space="preserve">   ·   עמוד 9</w:t>
            </w:r>
          </w:p>
          <w:p>
            <w:pPr>
              <w:bidi/>
              <w:spacing w:after="50" w:before="0"/>
              <w:jc w:val="both"/>
            </w:pPr>
            <w:r>
              <w:rPr>
                <w:rFonts w:ascii="Rubik Medium MG" w:cs="Rubik Medium MG" w:eastAsia="Rubik Medium MG" w:hAnsi="Rubik Medium MG"/>
                <w:b w:val="false"/>
                <w:color w:val="5B2245"/>
                <w:sz w:val="24"/>
                <w:szCs w:val="24"/>
                <w:rtl/>
              </w:rPr>
              <w:t xml:space="preserve">עיר גדולה ושנה מעוברת</w:t>
            </w:r>
            <w:r>
              <w:rPr>
                <w:rFonts w:ascii="Rubik Bold MG" w:cs="Rubik Bold MG" w:eastAsia="Rubik Bold MG" w:hAnsi="Rubik Bold MG"/>
                <w:b w:val="false"/>
                <w:color w:val="A3541C"/>
                <w:sz w:val="23"/>
                <w:szCs w:val="23"/>
                <w:rtl/>
              </w:rPr>
              <w:t xml:space="preserve">   ·   עמוד 13</w:t>
            </w:r>
          </w:p>
          <w:p>
            <w:pPr>
              <w:bidi/>
              <w:spacing w:after="50" w:before="0"/>
              <w:jc w:val="both"/>
            </w:pPr>
            <w:r>
              <w:rPr>
                <w:rFonts w:ascii="Rubik Medium MG" w:cs="Rubik Medium MG" w:eastAsia="Rubik Medium MG" w:hAnsi="Rubik Medium MG"/>
                <w:b w:val="false"/>
                <w:color w:val="5B2245"/>
                <w:sz w:val="24"/>
                <w:szCs w:val="24"/>
                <w:rtl/>
              </w:rPr>
              <w:t xml:space="preserve">אין בין – שבת, יום טוב ונדרים</w:t>
            </w:r>
            <w:r>
              <w:rPr>
                <w:rFonts w:ascii="Rubik Bold MG" w:cs="Rubik Bold MG" w:eastAsia="Rubik Bold MG" w:hAnsi="Rubik Bold MG"/>
                <w:b w:val="false"/>
                <w:color w:val="A3541C"/>
                <w:sz w:val="23"/>
                <w:szCs w:val="23"/>
                <w:rtl/>
              </w:rPr>
              <w:t xml:space="preserve">   ·   עמוד 17</w:t>
            </w:r>
          </w:p>
          <w:p>
            <w:pPr>
              <w:bidi/>
              <w:spacing w:after="50" w:before="0"/>
              <w:jc w:val="both"/>
            </w:pPr>
            <w:r>
              <w:rPr>
                <w:rFonts w:ascii="Rubik Medium MG" w:cs="Rubik Medium MG" w:eastAsia="Rubik Medium MG" w:hAnsi="Rubik Medium MG"/>
                <w:b w:val="false"/>
                <w:color w:val="5B2245"/>
                <w:sz w:val="24"/>
                <w:szCs w:val="24"/>
                <w:rtl/>
              </w:rPr>
              <w:t xml:space="preserve">אין בין – טומאה וטהרה, ספרים ותפילין</w:t>
            </w:r>
            <w:r>
              <w:rPr>
                <w:rFonts w:ascii="Rubik Bold MG" w:cs="Rubik Bold MG" w:eastAsia="Rubik Bold MG" w:hAnsi="Rubik Bold MG"/>
                <w:b w:val="false"/>
                <w:color w:val="A3541C"/>
                <w:sz w:val="23"/>
                <w:szCs w:val="23"/>
                <w:rtl/>
              </w:rPr>
              <w:t xml:space="preserve">   ·   עמוד 21</w:t>
            </w:r>
          </w:p>
          <w:p>
            <w:pPr>
              <w:bidi/>
              <w:spacing w:after="50" w:before="0"/>
              <w:jc w:val="both"/>
            </w:pPr>
            <w:r>
              <w:rPr>
                <w:rFonts w:ascii="Rubik Medium MG" w:cs="Rubik Medium MG" w:eastAsia="Rubik Medium MG" w:hAnsi="Rubik Medium MG"/>
                <w:b w:val="false"/>
                <w:color w:val="5B2245"/>
                <w:sz w:val="24"/>
                <w:szCs w:val="24"/>
                <w:rtl/>
              </w:rPr>
              <w:t xml:space="preserve">אין בין – כהן גדול, במות, שילה וירושלים</w:t>
            </w:r>
            <w:r>
              <w:rPr>
                <w:rFonts w:ascii="Rubik Bold MG" w:cs="Rubik Bold MG" w:eastAsia="Rubik Bold MG" w:hAnsi="Rubik Bold MG"/>
                <w:b w:val="false"/>
                <w:color w:val="A3541C"/>
                <w:sz w:val="23"/>
                <w:szCs w:val="23"/>
                <w:rtl/>
              </w:rPr>
              <w:t xml:space="preserve">   ·   עמוד 25</w:t>
            </w:r>
          </w:p>
          <w:p>
            <w:pPr>
              <w:bidi/>
              <w:spacing w:after="50" w:before="0"/>
              <w:jc w:val="both"/>
            </w:pPr>
            <w:r>
              <w:rPr>
                <w:rFonts w:ascii="Rubik Medium MG" w:cs="Rubik Medium MG" w:eastAsia="Rubik Medium MG" w:hAnsi="Rubik Medium MG"/>
                <w:b w:val="false"/>
                <w:color w:val="5B2245"/>
                <w:sz w:val="24"/>
                <w:szCs w:val="24"/>
                <w:rtl/>
              </w:rPr>
              <w:t xml:space="preserve">חזרה – פרק ראשון</w:t>
            </w:r>
            <w:r>
              <w:rPr>
                <w:rFonts w:ascii="Rubik Bold MG" w:cs="Rubik Bold MG" w:eastAsia="Rubik Bold MG" w:hAnsi="Rubik Bold MG"/>
                <w:b w:val="false"/>
                <w:color w:val="A3541C"/>
                <w:sz w:val="23"/>
                <w:szCs w:val="23"/>
                <w:rtl/>
              </w:rPr>
              <w:t xml:space="preserve">   ·   עמוד 29</w:t>
            </w:r>
          </w:p>
        </w:tc>
      </w:tr>
    </w:tbl>
    <w:p>
      <w:pPr>
        <w:sectPr>
          <w:headerReference w:type="default" r:id="rId12"/>
          <w:footerReference w:type="default" r:id="rId13"/>
          <w:pgSz w:w="11906" w:h="16838" w:orient="portrait"/>
          <w:pgMar w:top="1380" w:right="1000" w:bottom="1150" w:left="1000" w:header="330" w:footer="420" w:gutter="0"/>
          <w:pgNumType/>
          <w:docGrid w:linePitch="360"/>
        </w:sectPr>
      </w:pPr>
    </w:p>
    <w:p>
      <w:pPr>
        <w:spacing w:after="0" w:before="0" w:line="240"/>
      </w:pPr>
      <w:r>
        <w:rPr>
          <w:rFonts w:ascii="Arial" w:cs="Arial" w:eastAsia="Arial" w:hAnsi="Arial"/>
          <w:color w:val="FDF8F2"/>
          <w:sz w:val="2"/>
          <w:szCs w:val="2"/>
        </w:rPr>
        <w:t xml:space="preserve">QQS1QQ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24"/>
                <w:szCs w:val="24"/>
                <w:rtl/>
              </w:rPr>
              <w:t xml:space="preserve">פרק ראשון – מגילה נקראת · פרק א · משנה א</w:t>
            </w:r>
          </w:p>
          <w:p>
            <w:pPr>
              <w:keepNext/>
              <w:keepLines/>
              <w:bidi/>
              <w:spacing w:after="60" w:before="0" w:line="240" w:lineRule="auto"/>
              <w:jc w:val="both"/>
            </w:pPr>
            <w:r>
              <w:rPr>
                <w:rFonts w:ascii="Suez One" w:cs="Suez One" w:eastAsia="Suez One" w:hAnsi="Suez One"/>
                <w:b w:val="false"/>
                <w:color w:val="5B2245"/>
                <w:sz w:val="51"/>
                <w:szCs w:val="51"/>
                <w:rtl/>
              </w:rPr>
              <w:t xml:space="preserve">מתי קוראים את המגילה?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לדעת באילו חמישה ימים כשרה קריאת המגילה // להבחין בין כרך, עיר גדולה וכפר // להבין מדוע הזכירו חכמים את «ימות יְהוֹשֻׁעַ בן נון» // להכיר את «יום הכניסה» של בני הכפרים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מְגִלָּה נִקְרֵאת בְּאַחַד עָשָׂר, בִּשְׁנֵים עָשָׂר, בִּשְׁלֹשָׁה עָשָׂר, בְּאַרְבָּעָה עָשָׂר, בַּחֲמִשָּׁה עָשָׂר; לֹא פָּחוֹת וְלֹא יוֹתֵר. כְּרַכִּין הַמֻקָּפִין חוֹמָה מִימוֹת יְהוֹשֻׁעַ בִּן נוּן, קוֹרִין בַּחֲמִשָּׁה עָשָׂר. כְּפָרִים וַעֲיָרוֹת גְּדוֹלוֹת, קוֹרִין בְּאַרְבָּעָה עָשָׂר; אֶלָּא שֶׁהַכְּפָרִים מַקְדִּימִין לְיוֹם הַכְּנִיסָה: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א')</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לֹא פָּחוֹת וְלֹא יוֹתֵר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אין קוראים לפני י"א באדר, ואין קוראים אחרי ט"ו באדר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כְּרַכִּין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ערים גדולות וחשובות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הַמֻקָּפִין חוֹמָה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שיש חומה מסביב להן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כְּפָרִים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יישובים קטנים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עֲיָרוֹת גְּדוֹלוֹת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ערים שאינן מוקפות חומה מימות יְהוֹשֻׁעַ</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מַקְדִּימִין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מוקדם יותר, לפני י"ד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יוֹם הַכְּנִיסָה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שני או חמישי, שבו בני הכפרים נכנסים לעיר</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מלאו את התרשים לפי שלושת חלקי המשנה (הטעם – לפי הברטנורא).</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בכמה ימים כשרה קריאת המגילה? ב</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ימים – מיום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עד יום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באדר.</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בא ללמד אותנו הביטוי «לֹא פָּחוֹת וְלֹא יוֹתֵר»?</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השלימו: בני הכרכים המוקפים חומה קוראים ב</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באדר. בני הכפרים והעיירות הגדולות קוראים ב</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באדר.</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לפי המשנה, מי רשאי להקדים את הקריאה, ולאיזה יום?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מקדימים ל</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למשנה חשוב מתי הייתה העיר מוקפת חומה. מה הדין בכל מקרה? (הסתייעו בברטנורא)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430"/>
              <w:gridCol w:w="2476"/>
            </w:tblGrid>
            <w:tr>
              <w:trPr>
                <w:cantSplit/>
                <w:tblHeader/>
              </w:trPr>
              <w:tc>
                <w:tcPr>
                  <w:tcW w:type="dxa" w:w="7430"/>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המקרה</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מתי קוראים?</w:t>
                  </w:r>
                </w:p>
              </w:tc>
            </w:tr>
            <w:tr>
              <w:trPr>
                <w:cantSplit/>
                <w:tblHeader w:val="false"/>
                <w:trHeight w:val="500" w:hRule="atLeast"/>
              </w:trPr>
              <w:tc>
                <w:tcPr>
                  <w:tcW w:type="dxa" w:w="74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עיר שהייתה מוקפת חומה בימי יְהוֹשֻׁעַ, וחומתה נהרסה מזמן</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74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עיר שבנו סביבה חומה רק בימי מרדכי ואסתר</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74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עיר חדשה, גדולה ויפה, שבנו לה חומה בימינו</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לפי המשנה יש חמישה ימי קריאה, אבל בני הכרכים קוראים רק בט"ו ובני העיירות רק בי"ד. מי קורא, אם כן, בי"א, בי"ב ובי"ג?</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מימות יהושע בן נון קורין בט"ו – </w:t>
                        </w:r>
                        <w:r>
                          <w:rPr>
                            <w:rFonts w:ascii="Frank Ruhl TB" w:cs="Frank Ruhl TB" w:eastAsia="Frank Ruhl TB" w:hAnsi="Frank Ruhl TB"/>
                            <w:b w:val="false"/>
                            <w:color w:val="2A1F28"/>
                            <w:sz w:val="25"/>
                            <w:szCs w:val="25"/>
                            <w:rtl/>
                          </w:rPr>
                          <w:t xml:space="preserve">ותקנו שהכרכים המוקפים חומה מימות יהושע אע"פ שאין להם חומה עכשיו יקראו בט"ו כמו שושן, כדי לחלוק כבוד לא"י שהיתה חרבה בימי מרדכי ואסתר</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מימות יהושע בן נון קורין בט"ו – </w:t>
                        </w:r>
                        <w:r>
                          <w:rPr>
                            <w:rFonts w:ascii="Frank Ruhl TB" w:cs="Frank Ruhl TB" w:eastAsia="Frank Ruhl TB" w:hAnsi="Frank Ruhl TB"/>
                            <w:b w:val="false"/>
                            <w:color w:val="2A1F28"/>
                            <w:sz w:val="25"/>
                            <w:szCs w:val="25"/>
                            <w:rtl/>
                          </w:rPr>
                          <w:t xml:space="preserve">ולפי שיהושע התחיל להלחם בעמלק תחלה... לפיכך הזכירו מימות יהושע</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איזה קושי פותר הברטנורא? (רמז: הנס קרה בשושן, בימי אחשורוש.)</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כיצד הדין הזה «חולק כבוד» לארץ ישראל?</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מדוע נבחר דווקא יְהוֹשֻׁעַ? כי יְהוֹשֻׁעַ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 והמן היה מזרע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אלא שהכפרים מקדימין – </w:t>
                  </w:r>
                  <w:r>
                    <w:rPr>
                      <w:rFonts w:ascii="Frank Ruhl TB" w:cs="Frank Ruhl TB" w:eastAsia="Frank Ruhl TB" w:hAnsi="Frank Ruhl TB"/>
                      <w:b w:val="false"/>
                      <w:color w:val="2A1F28"/>
                      <w:sz w:val="25"/>
                      <w:szCs w:val="25"/>
                      <w:rtl/>
                    </w:rPr>
                    <w:t xml:space="preserve">שהכפרים נתנו להם רשות להקדים קריאתן ליום הכניסה יום ב' בשבת שלפני י"ד, או ה' בשבת, שהן יום הכניסה שהכפרים מתכנסים בעיירות למשפט</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אלא שהכפרים מקדימין – </w:t>
                  </w:r>
                  <w:r>
                    <w:rPr>
                      <w:rFonts w:ascii="Frank Ruhl TB" w:cs="Frank Ruhl TB" w:eastAsia="Frank Ruhl TB" w:hAnsi="Frank Ruhl TB"/>
                      <w:b w:val="false"/>
                      <w:color w:val="2A1F28"/>
                      <w:sz w:val="25"/>
                      <w:szCs w:val="25"/>
                      <w:rtl/>
                    </w:rPr>
                    <w:t xml:space="preserve">ולא הטריחום חכמים לחזור ולבא ביום י"ד, כדי שיהיו פנויים ביום פורים להספיק צרכי סעודת פורים לבני העיירות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10.  </w:t>
      </w:r>
      <w:r>
        <w:rPr>
          <w:rFonts w:ascii="Rubik MG" w:cs="Rubik MG" w:eastAsia="Rubik MG" w:hAnsi="Rubik MG"/>
          <w:b w:val="false"/>
          <w:color w:val="2A1F28"/>
          <w:sz w:val="24"/>
          <w:szCs w:val="24"/>
          <w:rtl/>
        </w:rPr>
        <w:t xml:space="preserve">מה מבאר הברטנורא? מהו «יום הכניסה»? יום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או יום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שלפני י"ד, שבו בני הכפרים נכנסים לעיירות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11.  </w:t>
      </w:r>
      <w:r>
        <w:rPr>
          <w:rFonts w:ascii="Rubik MG" w:cs="Rubik MG" w:eastAsia="Rubik MG" w:hAnsi="Rubik MG"/>
          <w:b w:val="false"/>
          <w:color w:val="2A1F28"/>
          <w:sz w:val="24"/>
          <w:szCs w:val="24"/>
          <w:rtl/>
        </w:rPr>
        <w:t xml:space="preserve">מדוע לא ביקשו חכמים מבני הכפרים לבוא שוב לעיר בי"ד?</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כרך</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יום שני או חמישי שלפני י"ד</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עיר גדולה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יישוב קטן, שבניו נכנסים לעיר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כפר</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עיר מוקפת חומה מימות יְהוֹשֻׁעַ בן נון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יום הכניסה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הימים שבהם אין קוראים את המגילה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י"ד באדר</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עיר שאינה מוקפת חומה מימות יְהוֹשֻׁעַ</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י' באדר וט"ז באדר</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יום הקריאה בעיירות הגדולות</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חכמים הקלו על בני הכפרים, כדי שבפורים יוכלו לדאוג לסעודה של אחרים. כך כל אחד שומר על המצווה – וגם עוזר לחברו לשמוח.</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12.  </w:t>
      </w:r>
      <w:r>
        <w:rPr>
          <w:rFonts w:ascii="Rubik MG" w:cs="Rubik MG" w:eastAsia="Rubik MG" w:hAnsi="Rubik MG"/>
          <w:b w:val="false"/>
          <w:color w:val="2A1F28"/>
          <w:sz w:val="24"/>
          <w:szCs w:val="24"/>
          <w:rtl/>
        </w:rPr>
        <w:t xml:space="preserve">תנו דוגמה מחייכם: מתי ויתרתם או התאמתם את עצמכם, כדי שאחרים יוכלו לשמוח או לקיים מצווה?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בימינו קוראים את המגילה בי"ד באדר, ובירושלים – שהייתה מוקפת חומה מימות יְהוֹשֻׁעַ – בט"ו באדר, «שושן פורים».</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הברטנורא (על משנה ב) כותב שבזמן הזה אין מקדימים ליום הכניסה, וקוראים את המגילה רק בזמנה.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QQS2QQ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ראשון – מגילה נקראת · פרק א · משנה ב</w:t>
            </w:r>
          </w:p>
          <w:p>
            <w:pPr>
              <w:keepNext/>
              <w:keepLines/>
              <w:bidi/>
              <w:spacing w:after="60" w:before="0" w:line="240" w:lineRule="auto"/>
              <w:jc w:val="both"/>
            </w:pPr>
            <w:r>
              <w:rPr>
                <w:rFonts w:ascii="Suez One" w:cs="Suez One" w:eastAsia="Suez One" w:hAnsi="Suez One"/>
                <w:b w:val="false"/>
                <w:color w:val="5B2245"/>
                <w:sz w:val="51"/>
                <w:szCs w:val="51"/>
                <w:rtl/>
              </w:rPr>
              <w:t xml:space="preserve">יום הכניסה – כיצד?</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להבין שמשנה ב מפרטת ומבארת את משנה א («כֵּיצַד?») // לקבוע לכל יום בשבוע מתי קוראים הכפרים, העיירות והכרכים // להבין מדוע אין קוראים את המגילה בשבת // לדעת מדוע בזמן הזה אין מקדימים ליום הכניסה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כֵּיצַד? חָל לִהְיוֹת יוֹם אַרְבָּעָה עָשָׂר בַּשֵּׁנִי - כְּפָרִים וַעֲיָרוֹת גְּדוֹלוֹת קוֹרִין בּוֹ בַּיּוֹם, וּמֻקָּפוֹת חוֹמָה לְמָחָר. חָל לִהְיוֹת בַּשְּׁלִישִׁי אוֹ בָּרְבִיעִי - כְּפָרִים מַקְדִּימִין לְיוֹם הַכְּנִיסָה, וַעֲיָרוֹת גְּדוֹלוֹת קוֹרִין בּוֹ בַּיּוֹם, וּמֻקָּפוֹת חוֹמָה לְמָחָר. חָל לִהְיוֹת בַּחֲמִישִׁי - כְּפָרִים וַעֲיָרוֹת גְּדוֹלוֹת קוֹרִין בּוֹ בַּיּוֹם, וּמֻקָּפוֹת חוֹמָה לְמָחָר. חָל לִהְיוֹת עֶרֶב שַׁבָּת - כְּפָרִים מַקְדִּימִין לְיוֹם הַכְּנִיסָה, וַעֲיָרוֹת גְּדוֹלוֹת וּמֻקָּפוֹת חוֹמָה קוֹרִין בּוֹ בַּיּוֹם. חָל לִהְיוֹת בַּשַּׁבָּת - כְּפָרִים וַעֲיָרוֹת גְּדוֹלוֹת מַקְדִּימִין וְקוֹרִין לְיוֹם הַכְּנִיסָה, וּמֻקָּפוֹת חוֹמָה לְמָחָר. חָל לִהְיוֹת אַחַר הַשַּׁבָּת - כְּפָרִים מַקְדִּימִין לְיוֹם הַכְּנִיסָה, וַעֲיָרוֹת גְּדוֹלוֹת קוֹרִין בּוֹ בַּיּוֹם, וּמֻקָּפוֹת חוֹמָה לְמָחָר:</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ב')</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כֵּיצַד</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איך? (המשנה באה להסביר את מה שנאמר במשנה הקודמת)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חָל לִהְיוֹת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יצא, נפל ביום (בשבוע)</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בּוֹ בַּיּוֹם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באותו יום עצמו – בי"ד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לְמָחָר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ביום שאחריו – בט"ו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עֶרֶב שַׁבָּת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שישי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אַחַר הַשַּׁבָּת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ראשון</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המשנה פותחת במילה «כֵּיצַד?». היא מסבירה כיצד מתקיים מה שנאמר במשנה א: «אֶלָּא שֶׁהַכְּפָרִים מַקְדִּימִין לְיוֹם הַכְּנִיסָה».</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לוח הקריאה: השלימו בכל משבצת את היום בשבוע ואת התאריך שבו קוראים (יום הכניסה הוא שני או חמישי).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2477"/>
              <w:gridCol w:w="2477"/>
              <w:gridCol w:w="2475"/>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י"ד באדר חל ב...</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כפרים</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עיירות גדולות</w:t>
                  </w:r>
                </w:p>
              </w:tc>
              <w:tc>
                <w:tcPr>
                  <w:tcW w:type="dxa" w:w="247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מוקפות חומה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שני</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שני, י"ד</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שלישי</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רביעי</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חמישי</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ערב שבת (שישי)</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אחר השבת (ראשון)</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כאשר י"ד חל בשני או בחמישי, גם בני הכפרים קוראים «בּוֹ בַּיּוֹם». מדוע אינם צריכים להקדים?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באיזה מקרה בני המוקפות חומה אינם קוראים בט"ו, אלא מקדימים לי"ד?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(וט"ו חל בשבת).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באיזה מקרה גם בני העיירות הגדולות מקדימים ליום הכניסה? </w:t>
      </w:r>
      <w:r>
        <w:rPr>
          <w:rFonts w:ascii="Rubik MG" w:cs="Rubik MG" w:eastAsia="Rubik MG" w:hAnsi="Rubik MG"/>
          <w:b w:val="false"/>
          <w:color w:val="A69AA2"/>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הוא התאריך המוקדם ביותר שבו קוראים את המגילה?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באדר. מתי זה קורה? </w:t>
      </w:r>
      <w:r>
        <w:rPr>
          <w:rFonts w:ascii="Rubik MG" w:cs="Rubik MG" w:eastAsia="Rubik MG" w:hAnsi="Rubik MG"/>
          <w:b w:val="false"/>
          <w:color w:val="A69AA2"/>
          <w:sz w:val="24"/>
          <w:szCs w:val="24"/>
          <w:rtl/>
        </w:rPr>
        <w:t xml:space="preserve">‏________ ________ ________ ________ ________‏</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מלאו את התרשים לשני המקרים «המיוחדים» במשנה.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46"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21"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חל להיות – </w:t>
                        </w:r>
                        <w:r>
                          <w:rPr>
                            <w:rFonts w:ascii="Frank Ruhl TB" w:cs="Frank Ruhl TB" w:eastAsia="Frank Ruhl TB" w:hAnsi="Frank Ruhl TB"/>
                            <w:b w:val="false"/>
                            <w:color w:val="2A1F28"/>
                            <w:sz w:val="25"/>
                            <w:szCs w:val="25"/>
                            <w:rtl/>
                          </w:rPr>
                          <w:t xml:space="preserve">שאין קריאת מגילה בשבת, גזירה שמא יטלנה בידו ויעבירנה ד' אמות ברשות הרבים, ואם יאחרנה עד אחד בשבת הוה ליה י"ו, ואמר קרא ולא יעבור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מבאר הברטנורא? מדוע חכמים לא תיקנו לקרוא את המגילה בשבת?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כשט"ו חל בשבת, מדוע בני הכרכים אינם מאחרים את הקריאה ליום ראשון?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חל להיות – </w:t>
                  </w:r>
                  <w:r>
                    <w:rPr>
                      <w:rFonts w:ascii="Frank Ruhl TB" w:cs="Frank Ruhl TB" w:eastAsia="Frank Ruhl TB" w:hAnsi="Frank Ruhl TB"/>
                      <w:b w:val="false"/>
                      <w:color w:val="2A1F28"/>
                      <w:sz w:val="25"/>
                      <w:szCs w:val="25"/>
                      <w:rtl/>
                    </w:rPr>
                    <w:t xml:space="preserve">אבל בזמן הזה שהעם מסתכלין בקריאת המגילה ומונים ממנה שלשים יום לפסח... לפיכך אין קורין אותה אלא בזמנה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איזה קושי פותר הברטנורא? בימינו אין מקדימים ליום הכניסה. מה הסכנה שחשש לה?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45"/>
                    <w:gridCol w:w="1415"/>
                    <w:gridCol w:w="4246"/>
                  </w:tblGrid>
                  <w:tr>
                    <w:trPr>
                      <w:cantSplit/>
                      <w:tblHeader/>
                    </w:trPr>
                    <w:tc>
                      <w:tcPr>
                        <w:tcW w:type="dxa" w:w="424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424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24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כשי"ד חל בשבת, בני המוקפות חומה קוראים ביום שישי.</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24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24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כשי"ד חל בערב שבת, המוקפות חומה קוראים בו ביום.</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24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24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כשי"ד חל ביום שלישי, הכפרים קוראים ביום רביעי.</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24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24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לפי המשנה, יש מצב שבו הכפרים והעיירות קוראים באותו יום.</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24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24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לפי הברטנורא, בזמן הזה הכפרים קוראים ביום הכניסה.</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24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כשי"ד חל בשבת, המשנה אינה דוחה את הקריאה ליום ראשון, אלא מקדימה ליום חמישי. מה המשנה מלמדת אותנו על חשיבות הזמן בקיום מצווה?</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כשט"ו חל בשבת, בירושלים קוראים את המגילה ביום שישי (י"ד). הברטנורא כותב שבשבת עצמה קוראים בתורה «ויבא עמלק», ומפטירים «פקדתי».</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את סעודת פורים, לפי הירושלמי שמביא הברטנורא, עושים אחרי השבת. לכן מכונה פורים כזה בירושלים «פורים המשולש» – שלושה ימים.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QQS3QQ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ראשון – מגילה נקראת · פרק א · משניות ג–ד</w:t>
            </w:r>
          </w:p>
          <w:p>
            <w:pPr>
              <w:keepNext/>
              <w:keepLines/>
              <w:bidi/>
              <w:spacing w:after="60" w:before="0" w:line="240" w:lineRule="auto"/>
              <w:jc w:val="both"/>
            </w:pPr>
            <w:r>
              <w:rPr>
                <w:rFonts w:ascii="Suez One" w:cs="Suez One" w:eastAsia="Suez One" w:hAnsi="Suez One"/>
                <w:b w:val="false"/>
                <w:color w:val="5B2245"/>
                <w:sz w:val="51"/>
                <w:szCs w:val="51"/>
                <w:rtl/>
              </w:rPr>
              <w:t xml:space="preserve">עיר גדולה ושנה מעוברת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לדעת מהי «עיר גדולה» לפי המשנה // להשוות בין זמנים «שמקדימין ולא מאחרין» לבין זמנים «שמאחרין ולא מקדימין» // להבין את דעת רבי יהודה // לדעת מתי קוראים את המגילה בשנה מעוברת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אֵיזוֹ הִיא עִיר גְּדוֹלָה? כָּל שֶׁיֵּשׁ בָּהּ עֲשָׂרָה בַּטְלָנִים. פָּחוֹת מִכָּאן, הֲרֵי זֶה כְּפָר. בְּאֵלּוּ אָמְרוּ מַקְדִּימִין וְלֹא מְאַחֲרִין. אֲבָל זְמַן עֲצֵי כֹּהֲנִים, וְתִשְׁעָה בְּאָב, וַחֲגִיגָה, וְהַקְהֵל – מְאַחֲרִין וְלֹא מַקְדִּימִין. אַף עַל פִּי שֶׁאָמְרוּ מַקְדִּימִין וְלֹא מְאַחֲרִין, מֻתָּרִין בְּהֶסְפֵּד וּבְתַעֲנִיּוֹת וּמַתָּנוֹת לָאֶבְיוֹנִים. אָמַר רַבִּי יְהוּדָה: אֵימָתַי? מָקוֹם שֶׁנִּכְנָסִין בַּשֵּׁנִי וּבַחֲמִישִׁי. אֲבָל מָקוֹם שֶּׁאֵין נִכְנָסִין לֹא בַּשֵּׁנִי וְלֹא בַּחֲמִישִׁי, אֵין קוֹרִין אוֹתָהּ אֶלָּא בִּזְמַנָּהּ: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ג')</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קָרְאוּ אֶת הַמְּגִלָּה בַּאֲדָר הָרִאשׁוֹן, וְנִתְעַבְּרָה הַשָּׁנָה, קוֹרִין אוֹתָהּ בַּאֲדָר הַשֵּׁנִי. אֵין בֵּין אֲדָר הָרִאשׁוֹן לַאֲדָר הַשֵּׁנִי אֶלָּא קְרִיאַת הַמְּגִלָּה וּמַתָּנוֹת לָאֶבְיוֹנִים:</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ד')</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בַּטְלָנִים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אנשים שפנויים מעבודה כדי להיות תמיד בבית הכנסת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מְאַחֲרִין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דוחים ליום שאחרי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עֲצֵי כֹּהֲנִים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ימים שבהם משפחות הביאו עצים למזבח שבמקדש</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חֲגִיגָה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קרבן שמביאים ברגל</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הַקְהֵל</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מעמד שבו המלך קרא בתורה לפני כל העם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בִּזְמַנָּהּ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בזמן הרגיל שלה – י"ד או ט"ו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וְנִתְעַבְּרָה הַשָּׁנָה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הוסיפו לשנה חודש – «אדר שני»</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איזו היא עיר גדולה? כל עיר שיש בה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ואם יש בה פחות מכך? </w:t>
            </w:r>
            <w:r>
              <w:rPr>
                <w:rFonts w:ascii="Rubik MG" w:cs="Rubik MG" w:eastAsia="Rubik MG" w:hAnsi="Rubik MG"/>
                <w:b w:val="false"/>
                <w:color w:val="A69AA2"/>
                <w:sz w:val="24"/>
                <w:szCs w:val="24"/>
                <w:rtl/>
              </w:rPr>
              <w:t xml:space="preserve">‏________ 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הקשר בין «עשרה בטלנים» לבין תפילה בבית הכנסת? (רמז: כמה אנשים צריך כדי להתפלל במניין?)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המשנה אומרת: «מֻתָּרִין בְּהֶסְפֵּד וּבְתַעֲנִיּוֹת». על איזה יום מדובר, ומדוע מותר בו להספיד ולהתענות?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קראו את המגילה באדר, ואחר כך בית הדין עיבר את השנה. מה עושים? </w:t>
      </w:r>
      <w:r>
        <w:rPr>
          <w:rFonts w:ascii="Rubik MG" w:cs="Rubik MG" w:eastAsia="Rubik MG" w:hAnsi="Rubik MG"/>
          <w:b w:val="false"/>
          <w:color w:val="A69AA2"/>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לפי משנה ד, מהם שני הדברים שעושים רק באדר השני?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ו</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מה ההבדל?</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השוו בין שתי קבוצות הזמנים שבמשנה ג (הטעם – לפי הברטנורא).</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 </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מקדימין ולא מאחרין</w:t>
                  </w:r>
                </w:p>
              </w:tc>
              <w:tc>
                <w:tcPr>
                  <w:tcW w:type="dxa" w:w="371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מאחרין ולא מקדימין</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באילו זמנים?</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מה עושים כשהזמן חל בשבת?</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מדוע?</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עשרה בטלנין – </w:t>
                        </w:r>
                        <w:r>
                          <w:rPr>
                            <w:rFonts w:ascii="Frank Ruhl TB" w:cs="Frank Ruhl TB" w:eastAsia="Frank Ruhl TB" w:hAnsi="Frank Ruhl TB"/>
                            <w:b w:val="false"/>
                            <w:color w:val="2A1F28"/>
                            <w:sz w:val="25"/>
                            <w:szCs w:val="25"/>
                            <w:rtl/>
                          </w:rPr>
                          <w:t xml:space="preserve">של בית הכנסת, שבטלים ממלאכתן ונזונים משל צבור כדי להיות מצויין תמיד בשעת התפילה בבהכ"נ</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מבאר הברטנורא? מי הם הבטלנים? </w:t>
      </w:r>
      <w:r>
        <w:rPr>
          <w:rFonts w:ascii="Rubik MG" w:cs="Rubik MG" w:eastAsia="Rubik MG" w:hAnsi="Rubik MG"/>
          <w:b w:val="false"/>
          <w:color w:val="A69AA2"/>
          <w:sz w:val="24"/>
          <w:szCs w:val="24"/>
          <w:rtl/>
        </w:rPr>
        <w:t xml:space="preserve">‏________ ________ ________ ________ ________ ________‏</w:t>
      </w:r>
      <w:r>
        <w:rPr>
          <w:rFonts w:ascii="Rubik MG" w:cs="Rubik MG" w:eastAsia="Rubik MG" w:hAnsi="Rubik MG"/>
          <w:b w:val="false"/>
          <w:color w:val="2A1F28"/>
          <w:sz w:val="24"/>
          <w:szCs w:val="24"/>
          <w:rtl/>
        </w:rPr>
        <w:t xml:space="preserve">, כדי </w:t>
      </w:r>
      <w:r>
        <w:rPr>
          <w:rFonts w:ascii="Rubik MG" w:cs="Rubik MG" w:eastAsia="Rubik MG" w:hAnsi="Rubik MG"/>
          <w:b w:val="false"/>
          <w:color w:val="A69AA2"/>
          <w:sz w:val="24"/>
          <w:szCs w:val="24"/>
          <w:rtl/>
        </w:rPr>
        <w:t xml:space="preserve">‏________ ________ ________ ________ ________‏</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ולא מקדימין – </w:t>
                  </w:r>
                  <w:r>
                    <w:rPr>
                      <w:rFonts w:ascii="Frank Ruhl TB" w:cs="Frank Ruhl TB" w:eastAsia="Frank Ruhl TB" w:hAnsi="Frank Ruhl TB"/>
                      <w:b w:val="false"/>
                      <w:color w:val="2A1F28"/>
                      <w:sz w:val="25"/>
                      <w:szCs w:val="25"/>
                      <w:rtl/>
                    </w:rPr>
                    <w:t xml:space="preserve">ותשעה באב, דאקדומי פורענותא לא מקדמינן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מה פירוש «דאקדומי פורענותא לא מקדמינן»? מדוע תשעה באב שחל בשבת נדחה ליום ראשון ולא מוקדם ליום שישי?</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אין בין אדר ראשון לאדר שני וכו' – </w:t>
                  </w:r>
                  <w:r>
                    <w:rPr>
                      <w:rFonts w:ascii="Frank Ruhl TB" w:cs="Frank Ruhl TB" w:eastAsia="Frank Ruhl TB" w:hAnsi="Frank Ruhl TB"/>
                      <w:b w:val="false"/>
                      <w:color w:val="2A1F28"/>
                      <w:sz w:val="25"/>
                      <w:szCs w:val="25"/>
                      <w:rtl/>
                    </w:rPr>
                    <w:t xml:space="preserve">אלא מקרא מגילה ומתנות לאביונים, הא לענין הספד ותענית זה וזה שוין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לפי הברטנורא, מה הדין בהספד ובתענית בי"ד ובט"ו של אדר הראשון? </w:t>
      </w:r>
      <w:r>
        <w:rPr>
          <w:rFonts w:ascii="Rubik MG" w:cs="Rubik MG" w:eastAsia="Rubik MG" w:hAnsi="Rubik MG"/>
          <w:b w:val="false"/>
          <w:color w:val="A69AA2"/>
          <w:sz w:val="24"/>
          <w:szCs w:val="24"/>
          <w:rtl/>
        </w:rPr>
        <w:t xml:space="preserve">‏________ ________ ________ ________ ________ ________‏</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רבי יהודה שואל: «אֵימָתַי?» – מתי מקדימים ליום הכניסה?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3962"/>
              <w:gridCol w:w="3963"/>
            </w:tblGrid>
            <w:tr>
              <w:trPr>
                <w:cantSplit/>
                <w:tblHeader/>
              </w:trPr>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אומר?</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דעתו?</w:t>
                  </w:r>
                </w:p>
              </w:tc>
              <w:tc>
                <w:tcPr>
                  <w:tcW w:type="dxa" w:w="396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נימוק/סברה</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סתם משנה (משנה א)</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רבי יהודה</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4191000" cy="2790825"/>
                    </a:xfrm>
                    <a:prstGeom prst="rect">
                      <a:avLst/>
                    </a:prstGeom>
                  </pic:spPr>
                </pic:pic>
              </a:graphicData>
            </a:graphic>
          </wp:inline>
        </w:drawing>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עשרה בטלנים דאגו שבכל שעה יהיה מניין בבית הכנסת. גם בימינו יש אנשים שמקפידים לבוא ראשונים לתפילה, כדי שהציבור יוכל להתפלל.</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איך אתם יכולים לתרום לכך שתמיד יהיה מניין או שיעור תורה בבית הכנסת שלכם או בבית הספר?</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בלוח שלנו י"ד באדר אינו חל לעולם בשני, ברביעי או בשבת.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היום אנו קוראים לי"ד ולט"ו באדר הראשון «פורים קטן» ו«שושן פורים קטן». אין קוראים בהם את המגילה, אבל אין מספידים ואין מתענים – כמו שכתב הברטנורא.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QQS4QQ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ראשון – מגילה נקראת · פרק א · משניות ה–ו</w:t>
            </w:r>
          </w:p>
          <w:p>
            <w:pPr>
              <w:keepNext/>
              <w:keepLines/>
              <w:bidi/>
              <w:spacing w:after="60" w:before="0" w:line="240" w:lineRule="auto"/>
              <w:jc w:val="both"/>
            </w:pPr>
            <w:r>
              <w:rPr>
                <w:rFonts w:ascii="Suez One" w:cs="Suez One" w:eastAsia="Suez One" w:hAnsi="Suez One"/>
                <w:b w:val="false"/>
                <w:color w:val="5B2245"/>
                <w:sz w:val="51"/>
                <w:szCs w:val="51"/>
                <w:rtl/>
              </w:rPr>
              <w:t xml:space="preserve">אין בין – שבת, יום טוב ונדרים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להכיר את המבנה «אֵין בֵּין... אֶלָּא...» – השוואה בין שני דברים דומים // להבין מה ההבדל בין יום טוב לשבת ובין שבת ליום הכיפורים // להבחין בין «מוּדָּר הֲנָאָה» ל«מוּדָּר מַאֲכָל», ובין נדר לנדבה // לגלות בעזרת הברטנורא במה שני הדברים שווים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בחודש אדר למדנו: «אֵין בֵּין אֲדָר הָרִאשׁוֹן לַאֲדָר הַשֵּׁנִי אֶלָּא...». מכאן ממשיכה המשנה בשרשרת של השוואות באותו מבנה. כל השוואה מלמדת אותנו דבר אחד: שני הדברים שווים כמעט בכול – וההבדל הוא רק במה שכתוב אחרי המילה «אֶלָּא».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יוֹם טוֹב לַשַּׁבָּת, אֶלָּא אֹכֶל נֶפֶשׁ בִּלְבָד. אֵין בֵּין שַׁבָּת לְיוֹם הַכִּפּוּרִים, אֶלָּא שֶׁזֶּה זְדוֹנוֹ בִּידֵי אָדָם, וְזֶה זְדוֹנוֹ בְּכָרֵת:</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ה')</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הַמּוּדַר הֲנָאָה מֵחֲבֵרוֹ לְמֻּדָּר מִמֶּנּוּ מַאֲכָל, אֶלָּא דְּרִיסַת הָרֶגֶל, וְכֵלִים שֶּׁאֵין עוֹשִׂין בָּהֶן אֹכֶל נֶפֶשׁ. אֵין בֵּין נְדָרִים לִנְדָבוֹת, אֶלָּא שֶׁהַנְּדָרִים חַיָּב בְּאַחֲרָיוּתָן, וּנְדָבוֹת אֵינוֹ חַיָּב בְּאַחֲרָיוּתָן:</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ו')</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אֵין בֵּין... אֶלָּא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אין הבדל בין שני הדברים, חוץ מן הדבר הזה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אֹכֶל נֶפֶשׁ</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הכנת אוכל (בישול, אפייה וכדומה) – מותר ביום טוב ואסור בשבת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זְדוֹנוֹ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שעובר על האיסור בכוונה (במזיד)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בִּידֵי אָדָם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עונש שבית הדין נותן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בְּכָרֵת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עונש מידי שמיים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הַמּוּדַר הֲנָאָה מֵחֲבֵרוֹ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אדם שנאסר בנדר ליהנות מכל דבר של חברו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דְּרִיסַת הָרֶגֶל</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כניסה לתוך הבית או השטח של החבר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חַיָּב בְּאַחֲרָיוּתָן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אם הקרבן אבד – חייב להביא אחר במקומו</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משנה 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מלאו את התרשים. בכל שורה – השוואה אחרת מן המשנה.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991"/>
              <w:gridCol w:w="1981"/>
              <w:gridCol w:w="1981"/>
              <w:gridCol w:w="2972"/>
            </w:tblGrid>
            <w:tr>
              <w:trPr>
                <w:cantSplit/>
                <w:tblHeader/>
              </w:trPr>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 (מה משווים?)</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 (מה ההבדל?)</w:t>
                  </w:r>
                </w:p>
              </w:tc>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 / הסבר</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לפי המשנה, ההבדל היחיד בין יום טוב לשבת הוא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כלומר: ביום טוב מותר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ובשבת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גם בשבת וגם ביום הכיפורים אסור לעשות מלאכה. אם כך, מה ההבדל ביניהם לפי המשנה?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שמעון נדר: «הֲנָאַת חֲבֵרִי לֵוִי אֲסוּרָה עָלַי». ראובן נדר: «מַאֲכַל חֲבֵרִי לֵוִי אָסוּר עָלַי». מי מהם אסור להיכנס לחצר של לוי?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כי זו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והיא אסורה רק ל</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לוי רוצה להשאיל לראובן (שנאסר רק במאכל) מגרפה לעבודה בגינה. האם מותר? הסבירו לפי המשנה.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מי שאמר «הֲרֵי עָלַי עוֹלָה» – זה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מי שאמר «הֲרֵי זוֹ עוֹלָה» – זו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הבהמה שהפריש לקרבן אבדה. במקרה של נדר הוא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להביא אחרת, ובמקרה של נדבה הוא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נדר – </w:t>
                        </w:r>
                        <w:r>
                          <w:rPr>
                            <w:rFonts w:ascii="Frank Ruhl TB" w:cs="Frank Ruhl TB" w:eastAsia="Frank Ruhl TB" w:hAnsi="Frank Ruhl TB"/>
                            <w:b w:val="false"/>
                            <w:color w:val="2A1F28"/>
                            <w:sz w:val="25"/>
                            <w:szCs w:val="25"/>
                            <w:rtl/>
                          </w:rPr>
                          <w:t xml:space="preserve">האומר הרי עלי עולה, ולאחר זמן הפרישה ונאבדה, חייב באחריותה:</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נדבה – </w:t>
                        </w:r>
                        <w:r>
                          <w:rPr>
                            <w:rFonts w:ascii="Frank Ruhl TB" w:cs="Frank Ruhl TB" w:eastAsia="Frank Ruhl TB" w:hAnsi="Frank Ruhl TB"/>
                            <w:b w:val="false"/>
                            <w:color w:val="2A1F28"/>
                            <w:sz w:val="25"/>
                            <w:szCs w:val="25"/>
                            <w:rtl/>
                          </w:rPr>
                          <w:t xml:space="preserve">האומר הרי זו עולה, ונאבדה, אינו חייב באחריותה, שהרי לא קבלה עליו.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מה מבאר הברטנורא? הסבירו במילים שלכם: למה בנדר חייב באחריות ובנדבה לא? (רמז: «עָלַי» לעומת «זוֹ»)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אין בין יו"ט לשבת אלא אוכל נפש בלבד – </w:t>
                  </w:r>
                  <w:r>
                    <w:rPr>
                      <w:rFonts w:ascii="Frank Ruhl TB" w:cs="Frank Ruhl TB" w:eastAsia="Frank Ruhl TB" w:hAnsi="Frank Ruhl TB"/>
                      <w:b w:val="false"/>
                      <w:color w:val="2A1F28"/>
                      <w:sz w:val="25"/>
                      <w:szCs w:val="25"/>
                      <w:rtl/>
                    </w:rPr>
                    <w:t xml:space="preserve">...ואיכא נמי מילי אחרינא שאסורים בשבת ומותרים ביו"ט אע"פ שאינם צורך אוכל נפש...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איזה קושי מעלה הברטנורא על המשנה? האם באמת ההבדל היחיד בין יום טוב לשבת הוא אוכל נפש?</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מה ההבדל?</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השלימו את הטבלה. בטור האחרון כתבו במה שני הדברים שווים.</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1651"/>
              <w:gridCol w:w="1651"/>
              <w:gridCol w:w="2477"/>
              <w:gridCol w:w="2476"/>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דבר א</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דבר ב</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ההבדל היחיד («אֶלָּא...»)</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 מותר / על מי חמור יותר?</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במה הם שווים?</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טוב</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הכיפורים</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4"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מוּדָּר הֲנָאָה</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מוּדָּר מַאֲכָל</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נְדָרִים</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נְדָבוֹת</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המשנה מלמדת שמילה אחת יכולה לשנות הרבה: «עָלַי» או «זוֹ». מי שמבטיח – צריך לדעת בדיוק מה הוא מקבל על עצמו.</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חשבו על הבטחה שהבטחתם (לחבר, להורים, למורה). האם הבטחתם «לעשות» – או רק «לנסות»? מה ההבדל באחריות שלכם? כתבו דוגמה.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המבנה «אֵין בֵּין... אֶלָּא...» חוזר במשניות ד–יא שלוש עשרה פעמים!</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שימו לב: המשנה מציינת רק את ההבדל – ומכאן אנחנו לומדים שבכל שאר הדברים שני הצדדים שווים.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4191000" cy="2790825"/>
                    </a:xfrm>
                    <a:prstGeom prst="rect">
                      <a:avLst/>
                    </a:prstGeom>
                  </pic:spPr>
                </pic:pic>
              </a:graphicData>
            </a:graphic>
          </wp:inline>
        </w:drawing>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QQS5QQ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ראשון – מגילה נקראת · פרק א · משניות ז–ח</w:t>
            </w:r>
          </w:p>
          <w:p>
            <w:pPr>
              <w:keepNext/>
              <w:keepLines/>
              <w:bidi/>
              <w:spacing w:after="60" w:before="0" w:line="240" w:lineRule="auto"/>
              <w:jc w:val="both"/>
            </w:pPr>
            <w:r>
              <w:rPr>
                <w:rFonts w:ascii="Suez One" w:cs="Suez One" w:eastAsia="Suez One" w:hAnsi="Suez One"/>
                <w:b w:val="false"/>
                <w:color w:val="5B2245"/>
                <w:sz w:val="51"/>
                <w:szCs w:val="51"/>
                <w:rtl/>
              </w:rPr>
              <w:t xml:space="preserve">אין בין – טומאה וטהרה, ספרים ותפילין</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להמשיך לזהות את המבנה «אֵין בֵּין... אֶלָּא...» // להבין שיש דרגות בטומאה, ולהכיר את ההבדל בין «מְצֹרָע מֻסְגָּר» ל«מְצֹרָע מֻחְלָט» // לדעת באיזה כתב ובאיזו לשון כותבים ספרים, תפילין ומזוזות // לזהות מחלוקת בין תנא קמא לרבן שמעון בן גמליאל</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במשנה ז ממשיכה שרשרת ההשוואות בעולם הטומאה והטהרה: התורה קובעת דרגות – יש מצב חמור יותר ומצב קל יותר – וההבדל ביניהם קטן ממה שנראה. במשנה ח נלמד על כתיבת ספרי הקודש, התפילין והמזוזות.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זָב הָרוֹאֶה שְׁתֵּי רְאִיּוֹת לְרוֹאֶה שָׁלֹשׁ, אֶלָּא קָרְבָּן. אֵין בֵּין מְצֹרָע מֻסְגָּר לִמְצֹרָע מֻּחְלָט, אֶלָּא פְּרִיעָה וּפְרִימָה. אֵין בֵּין טָהוֹר מִתּוֹךְ הֶסְגֵּר לְטָהוֹר מִתּוֹךְ הֶחְלֵט, אֶלָּא תִּגְלַחַת וְצִפֳּרִים:</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ז')</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סְפָרִים לִתְפִלִּין וּמְזוּזוֹת, אֶלָּא שֶׁהַסְּפָרִים נִכְתָּבִין בְּכָל לָשׁוֹן, וּתְפִלִּין וּמְזוּזוֹת אֵינָן נִכְתָּבוֹת אֶלָּא אַשּׁוּרִית. רַבָּן שִׁמְעוֹן בֶּן גַּמְלִיאֵל אוֹמֵר: אַף בַּסְּפָרִים, לֹא הִתִּירוּ שֶׁיִּכָּתְבוּ אֶלָּא יְוָנִית:</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ח')</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מְצֹרָע מֻסְגָּר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הכהן ראה נגע ועדיין לא ברור אם הוא טמא, ולכן «סָגַר» אותו שבעה ימים כדי לבדוק שוב</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מְצֹרָע מֻּחְלָט</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הכהן קבע בוודאות שהוא טמא</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פְּרִיעָה וּפְרִימָה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גידול שער הראש וקריעת הבגדים – סימני אבל שהמצורע נוהג בהם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תִּגְלַחַת וְצִפֳּרִים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גילוח השער והבאת שתי ציפורים – חלק מתהליך הטהרה של המצורע</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אַשּׁוּרִית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כתב הקודש – האותיות שבהן כתוב ספר התורה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יְוָנִית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הלשון והכתב של היוונים</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 – משנה ז</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במשנה ז שלוש השוואות. בכל אחת – דרגה חמורה ודרגה קלה יותר.</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בזב יש שתי דרגות. לפי המשנה, ההבדל היחיד ביניהן הוא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רק בדרגה החמורה יותר מביאים קרבן.</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ההבדל בין מצורע מוסגר למצורע מוחלט? ובמה הם שווים (לפי הברטנורא)?</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מצורע שנטהר: אם היה מוחלט – הוא צריך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אם היה רק מוסגר – הוא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אותן.</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למה לדעתכם המשנה מלמדת שגם «הקל» וגם «החמור» טמאים? מה זה מלמד על הדרגות בטומאה?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משנה ח</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1651"/>
                    <w:gridCol w:w="1651"/>
                    <w:gridCol w:w="2477"/>
                    <w:gridCol w:w="2476"/>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 (ברטנורא)</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748"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במשנה ח יש מחלוקת. השלימו:</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אומר?</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דעתו?</w:t>
                  </w:r>
                </w:p>
              </w:tc>
              <w:tc>
                <w:tcPr>
                  <w:tcW w:type="dxa" w:w="371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נימוק / סברה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נושא המחלוקת: </w:t>
      </w:r>
      <w:r>
        <w:rPr>
          <w:rFonts w:ascii="Rubik MG" w:cs="Rubik MG" w:eastAsia="Rubik MG" w:hAnsi="Rubik MG"/>
          <w:b w:val="false"/>
          <w:color w:val="A69AA2"/>
          <w:sz w:val="24"/>
          <w:szCs w:val="24"/>
          <w:rtl/>
        </w:rPr>
        <w:t xml:space="preserve">‏________ ________ ________ ________‏</w:t>
      </w:r>
      <w:r>
        <w:rPr>
          <w:rFonts w:ascii="Rubik MG" w:cs="Rubik MG" w:eastAsia="Rubik MG" w:hAnsi="Rubik MG"/>
          <w:b w:val="false"/>
          <w:color w:val="2A1F28"/>
          <w:sz w:val="24"/>
          <w:szCs w:val="24"/>
          <w:rtl/>
        </w:rPr>
        <w:t xml:space="preserve">. על מה אין מחלוקת? על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כולם מודים שהן נכתבות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בלבד.</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אלא פריעה ופרימה – </w:t>
                        </w:r>
                        <w:r>
                          <w:rPr>
                            <w:rFonts w:ascii="Frank Ruhl TB" w:cs="Frank Ruhl TB" w:eastAsia="Frank Ruhl TB" w:hAnsi="Frank Ruhl TB"/>
                            <w:b w:val="false"/>
                            <w:color w:val="2A1F28"/>
                            <w:sz w:val="25"/>
                            <w:szCs w:val="25"/>
                            <w:rtl/>
                          </w:rPr>
                          <w:t xml:space="preserve">הא לענין שלוח וטומאה זה וזה שוין.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מוסיף הברטנורא על המשנה? למה היה צורך לכתוב זאת?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אין נכתבין אלא יונית – </w:t>
                  </w:r>
                  <w:r>
                    <w:rPr>
                      <w:rFonts w:ascii="Frank Ruhl TB" w:cs="Frank Ruhl TB" w:eastAsia="Frank Ruhl TB" w:hAnsi="Frank Ruhl TB"/>
                      <w:b w:val="false"/>
                      <w:color w:val="2A1F28"/>
                      <w:sz w:val="25"/>
                      <w:szCs w:val="25"/>
                      <w:rtl/>
                    </w:rPr>
                    <w:t xml:space="preserve">...והלכה כרשב"ג. מיהו בזמן הזה כבר אבד אותו לשון יוני ונשתבש, לפיכך אין כותבין ספרים בזמן הזה אלא בכתב הקודש ובלשון הקודש: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כמי פוסק הברטנורא?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אם ההלכה כרשב"ג – למה היום אין כותבים ספר תורה ביוונית? הסבירו לפי הברטנורא.</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238"/>
                    <w:gridCol w:w="3715"/>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מצורע מוסגר אינו טמא, ורק המוחלט טמא.</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מצורע שנטהר מתוך החלט צריך תגלחת וציפורים.</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לפי תנא קמא, מזוזה מותר לכתוב בכל לשון.</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לפי רבן שמעון בן גמליאל, ספרים מותר לכתוב גם ביוונית.</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בתפילין ובמזוזה מקפידים על כל אות – הן נכתבות רק בכתב הקודש, בידי סופר סת"ם.</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איפה בבית שלכם או בבית הספר אתם פוגשים כתב אשורית? כתבו שתי דוגמאות, ומה אפשר לעשות כדי לשמור על כבודן.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4191000" cy="2790825"/>
                    </a:xfrm>
                    <a:prstGeom prst="rect">
                      <a:avLst/>
                    </a:prstGeom>
                  </pic:spPr>
                </pic:pic>
              </a:graphicData>
            </a:graphic>
          </wp:inline>
        </w:drawing>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QQS6QQ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ראשון – מגילה נקראת · פרק א · משניות ט–יא</w:t>
            </w:r>
          </w:p>
          <w:p>
            <w:pPr>
              <w:keepNext/>
              <w:keepLines/>
              <w:bidi/>
              <w:spacing w:after="60" w:before="0" w:line="240" w:lineRule="auto"/>
              <w:jc w:val="both"/>
            </w:pPr>
            <w:r>
              <w:rPr>
                <w:rFonts w:ascii="Suez One" w:cs="Suez One" w:eastAsia="Suez One" w:hAnsi="Suez One"/>
                <w:b w:val="false"/>
                <w:color w:val="5B2245"/>
                <w:sz w:val="51"/>
                <w:szCs w:val="51"/>
                <w:rtl/>
              </w:rPr>
              <w:t xml:space="preserve">אין בין – כהן גדול, במות, שילה וירושלים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להכיר עוד שלוש השוואות בעבודת הקודש: כהנים גדולים, במות, שילה וירושלים // להבין מהם «כֹּהֵן מָשׁוּחַ» ו«מְרֻבֵּה בְּגָדִים», «בָּמָה גְּדוֹלָה» ו«בָּמָה קְטַנָּה» // לזהות «זֶה הַכְּלָל» במשנה ולהשתמש בו // להבין מה ההבדל בין קדושת שילה לקדושת ירושלים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שלוש המשניות האחרונות בפרק עוסקות בעבודת ה' במשכן ובמקדש: מי הוא כהן גדול, היכן הקריבו קרבנות לפני שנבנה בית המקדש, ומה ההבדל בין המשכן בשילה לבין בית המקדש בירושלים.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כֹּהֵן מָשׁוּחַ בְּשֶׁמֶן הַמִּשְׁחָה לִמְרֻבֶּה בְּגָדִים, אֶלָּא פַּר הַבָּא עַל כָּל הַמִּצְוֹת. אֵין בֵּין כֹּהֵן מְשַׁמֵּשׁ לְכֹהֵן שֶׁעָבַר, אֶלָּא פַּר יוֹם הַכִּפּוּרִים וַעֲשִׂירִית הָאֵיפָה: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ט')</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בָּמָה גְּדוֹלָה לְבָמָה קְטַנָּה, אֶלָּא פְּסָחִים. זֶה הַכְּלָל: כָּל שֶׁהוּא נִדָּר וְנִדָּב, קָרֵב בְּבָמָה; וְכָל שֶׁאֵינוֹ לֹא נִדָּר וְלֹא נִדָּב, אֵינוֹ קָרֵב בַּבָּמָה: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י')</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שִׁילֹה לִירוּשָׁלַיִם, אֶלָּא שֶׁבְּשִׁילֹה אוֹכְלִים קָדָשִׁים קַלִּים וּמַעֲשֵׂר שֵׁנִי בְּכָל הָרוֹאֶה, וּבִירוּשָׁלַיִם לִפְנִים מִן הַחוֹמָה. וְכָאן וְכָאן קָדְשֵׁי קָדָשִׁים נֶאֱכָלִים לִפְנִים מִן הַקְּלָעִים. קְדֻשַּׁת שִׁילֹה יֵשׁ אַחֲרֶיהָ הֶתֵּר, וּקְדֻשַּׁת יְרוּשָׁלַיִם אֵין אַחֲרֶיהָ הֶתֵּר:</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י"א)</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כֹּהֵן מָשׁוּחַ בְּשֶׁמֶן הַמִּשְׁחָה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גדול שנמשח בשמן המשחה שעשה משה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מְרֻבֶּה בְּגָדִים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גדול שנעשה כהן גדול רק על ידי לבישת שמונת הבגדים, בלי משיחה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כֹּהֵן מְשַׁמֵּשׁ</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הכהן הגדול שעובד עכשיו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כֹהֵן שֶׁעָבַר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שמילא את מקום הכהן הגדול לזמן מה, ואחר כך חזר הכהן הראשון לתפקידו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בָּמָה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מזבח שהקריבו עליו מחוץ למשכן ולמקדש, בזמן שהדבר היה מותר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נִדָּר וְנִדָּב</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קרבן שאדם מביא מרצונו – בנדר או בנדבה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בְּכָל הָרוֹאֶה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בכל מקום שרואים ממנו את שילה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לִפְנִים מִן הַקְּלָעִים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בתוך חצר המשכן או המקדש</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ההבדל היחיד בין כהן משוח לבין מרובה בגדים הוא </w:t>
            </w:r>
            <w:r>
              <w:rPr>
                <w:rFonts w:ascii="Rubik MG" w:cs="Rubik MG" w:eastAsia="Rubik MG" w:hAnsi="Rubik MG"/>
                <w:b w:val="false"/>
                <w:color w:val="A69AA2"/>
                <w:sz w:val="24"/>
                <w:szCs w:val="24"/>
                <w:rtl/>
              </w:rPr>
              <w:t xml:space="preserve">‏________ ________ ________ ________ ________‏</w:t>
            </w:r>
            <w:r>
              <w:rPr>
                <w:rFonts w:ascii="Rubik MG" w:cs="Rubik MG" w:eastAsia="Rubik MG" w:hAnsi="Rubik MG"/>
                <w:b w:val="false"/>
                <w:color w:val="2A1F28"/>
                <w:sz w:val="24"/>
                <w:szCs w:val="24"/>
                <w:rtl/>
              </w:rPr>
              <w:t xml:space="preserve">.</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ההבדל בין כהן משמש לכהן שעבר: רק הכהן המשמש מביא </w:t>
      </w:r>
      <w:r>
        <w:rPr>
          <w:rFonts w:ascii="Rubik MG" w:cs="Rubik MG" w:eastAsia="Rubik MG" w:hAnsi="Rubik MG"/>
          <w:b w:val="false"/>
          <w:color w:val="A69AA2"/>
          <w:sz w:val="24"/>
          <w:szCs w:val="24"/>
          <w:rtl/>
        </w:rPr>
        <w:t xml:space="preserve">‏________ ________ ________ ________‏</w:t>
      </w:r>
      <w:r>
        <w:rPr>
          <w:rFonts w:ascii="Rubik MG" w:cs="Rubik MG" w:eastAsia="Rubik MG" w:hAnsi="Rubik MG"/>
          <w:b w:val="false"/>
          <w:color w:val="2A1F28"/>
          <w:sz w:val="24"/>
          <w:szCs w:val="24"/>
          <w:rtl/>
        </w:rPr>
        <w:t xml:space="preserve"> ו</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מה ההבדל בין במה גדולה לבמה קטנה? כתבו גם את הכלל שבמשנה במילים שלכם.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יהודה גר בכפר שממנו רואים את שילה, והביא מעשר שני. האם מותר לו לאכול אותו בביתו בזמן שהמשכן עמד בשילה?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כי בשילה אוכלים מעשר שני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ואם היה מביא את המעשר השני לירושלים בזמן בית המקדש – היכן היה עליו לאכול אותו?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במה שילה וירושלים שוות לפי המשנה? </w:t>
      </w:r>
      <w:r>
        <w:rPr>
          <w:rFonts w:ascii="Rubik MG" w:cs="Rubik MG" w:eastAsia="Rubik MG" w:hAnsi="Rubik MG"/>
          <w:b w:val="false"/>
          <w:color w:val="A69AA2"/>
          <w:sz w:val="24"/>
          <w:szCs w:val="24"/>
          <w:rtl/>
        </w:rPr>
        <w:t xml:space="preserve">‏________ ________ ________ ________ ________ ________‏</w:t>
      </w:r>
      <w:r>
        <w:rPr>
          <w:rFonts w:ascii="Rubik MG" w:cs="Rubik MG" w:eastAsia="Rubik MG" w:hAnsi="Rubik MG"/>
          <w:b w:val="false"/>
          <w:color w:val="2A1F28"/>
          <w:sz w:val="24"/>
          <w:szCs w:val="24"/>
          <w:rtl/>
        </w:rPr>
        <w:t xml:space="preserve"> בשתיהן.</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למרובה בבגדים – </w:t>
                        </w:r>
                        <w:r>
                          <w:rPr>
                            <w:rFonts w:ascii="Frank Ruhl TB" w:cs="Frank Ruhl TB" w:eastAsia="Frank Ruhl TB" w:hAnsi="Frank Ruhl TB"/>
                            <w:b w:val="false"/>
                            <w:color w:val="2A1F28"/>
                            <w:sz w:val="25"/>
                            <w:szCs w:val="25"/>
                            <w:rtl/>
                          </w:rPr>
                          <w:t xml:space="preserve">כהנים ששמשו בבית שני, ואף בבית ראשון מן יאשיהו ואילך שנגנזה צלוחית של שמן המשחה בימיו, ולא היו כהנים גדולים אלא בלבישת הבגדים בלבד:</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מה מבאר הברטנורא? מתי היו כהנים גדולים «מרובי בגדים», ולמה?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יש אחריה היתר – </w:t>
                  </w:r>
                  <w:r>
                    <w:rPr>
                      <w:rFonts w:ascii="Frank Ruhl TB" w:cs="Frank Ruhl TB" w:eastAsia="Frank Ruhl TB" w:hAnsi="Frank Ruhl TB"/>
                      <w:b w:val="false"/>
                      <w:color w:val="2A1F28"/>
                      <w:sz w:val="25"/>
                      <w:szCs w:val="25"/>
                      <w:rtl/>
                    </w:rPr>
                    <w:t xml:space="preserve">כשחרבה שילה הותרו הבמות: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איזה קושי פותר הברטנורא? מה פירוש «יֵשׁ אַחֲרֶיהָ הֶתֵּר»?</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מה ההבדל?</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1981"/>
                    <w:gridCol w:w="2972"/>
                    <w:gridCol w:w="2972"/>
                  </w:tblGrid>
                  <w:tr>
                    <w:trPr>
                      <w:cantSplit/>
                      <w:tblHeader/>
                    </w:trPr>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דבר א</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דבר ב</w:t>
                        </w:r>
                      </w:p>
                    </w:tc>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ההבדל היחיד («אֶלָּא...»)</w:t>
                        </w:r>
                      </w:p>
                    </w:tc>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מהם מוסיף?</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משוח</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מרובה בגדים</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משמש</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שעבר</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במה גדולה</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במה קטנה</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שילה</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ירושלים</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במה גדולה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כל מקום שרואים ממנו את שילה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במה קטנה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המזבח הציבורי בנוב ובגבעון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בכל הרואה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אחריה לא הותרו הבמות לעולם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קדושת ירושלים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מזבח פרטי שכל אחד עשה לעצמו</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קדושת שילה הייתה לזמן מסוים, אבל קדושת ירושלים «אֵין אַחֲרֶיהָ הֶתֵּר» – היא קדושה לעולם, גם היום, אחרי החורבן.</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איך אנחנו מראים היום שירושלים עדיין קדושה וחשובה לנו? כתבו שתי דוגמאות מן התפילה או מן המנהגים.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4191000" cy="2790825"/>
                    </a:xfrm>
                    <a:prstGeom prst="rect">
                      <a:avLst/>
                    </a:prstGeom>
                  </pic:spPr>
                </pic:pic>
              </a:graphicData>
            </a:graphic>
          </wp:inline>
        </w:drawing>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QQS7QQ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ראשון – מגילה נקראת · חזרה · פרק א</w:t>
            </w:r>
          </w:p>
          <w:p>
            <w:pPr>
              <w:keepNext/>
              <w:keepLines/>
              <w:bidi/>
              <w:spacing w:after="48" w:before="0" w:line="223" w:lineRule="auto"/>
              <w:jc w:val="both"/>
            </w:pPr>
            <w:r>
              <w:rPr>
                <w:rFonts w:ascii="Suez One" w:cs="Suez One" w:eastAsia="Suez One" w:hAnsi="Suez One"/>
                <w:b w:val="false"/>
                <w:color w:val="5B2245"/>
                <w:sz w:val="44"/>
                <w:szCs w:val="44"/>
                <w:rtl/>
              </w:rPr>
              <w:t xml:space="preserve">חזרה – פרק ראשון</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279" w:lineRule="auto"/>
                          <w:jc w:val="both"/>
                        </w:pPr>
                        <w:r>
                          <w:rPr>
                            <w:rFonts w:ascii="Rubik MG" w:cs="Rubik MG" w:eastAsia="Rubik MG" w:hAnsi="Rubik MG"/>
                            <w:b w:val="false"/>
                            <w:color w:val="2A1F28"/>
                            <w:sz w:val="23"/>
                            <w:szCs w:val="23"/>
                            <w:rtl/>
                          </w:rPr>
                          <w:t xml:space="preserve">לחזור על כל משניות הפרק הראשון – מזמני קריאת המגילה ועד שילה וירושלים // לזהות את הנושא של כל משנה // לסכם את שרשרת ההשוואות «אֵין בֵּין... אֶלָּא...» // לזכור מי אמר מה בפרק</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הפרק הראשון של מסכת מגילה בנוי משני חלקים: בחלק הראשון (משניות א–ג) – מתי קוראים את המגילה בכל מקום. בחלק השני (משניות ד–יא) – שרשרת ארוכה של השוואות «אֵין בֵּין... אֶלָּא...», שהתחילה מאדר ראשון ואדר שני.</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 – משנה ונושא</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המשנה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הנושא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א</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כהן משוח ומרובה בגדים, כהן משמש ושעבר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ב</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ספרים, תפילין ומזוזות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ג</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הימים שבהם המגילה נקראת: י"א עד ט"ו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ד</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שילה וירושלים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כיצד? – לפי היום בשבוע שבו חל י"ד</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ו</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עיר גדולה, מקדימין ולא מאחרין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ז</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במה גדולה ובמה קטנה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ח</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יום טוב, שבת ויום הכיפורים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ט</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מוסגר ומוחלט – דרגות בטומאה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י</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אדר ראשון ואדר שני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יא</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מודר הנאה, מודר מאכל, נדרים ונדבות</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השלמה ממחסן המילים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298" w:lineRule="auto"/>
                    <w:jc w:val="center"/>
                  </w:pPr>
                  <w:r>
                    <w:rPr>
                      <w:rFonts w:ascii="Rubik Bold MG" w:cs="Rubik Bold MG" w:eastAsia="Rubik Bold MG" w:hAnsi="Rubik Bold MG"/>
                      <w:b w:val="false"/>
                      <w:color w:val="5B2245"/>
                      <w:sz w:val="24"/>
                      <w:szCs w:val="24"/>
                      <w:rtl/>
                    </w:rPr>
                    <w:t xml:space="preserve">חֲמִשָּׁה עָשָׂר   ·   יוֹם הַכְּנִיסָה   ·   יְהוֹשֻׁעַ בִּן נוּן   ·   עֲשָׂרָה בַּטְלָנִים   ·   מַתָּנוֹת לָאֶבְיוֹנִים   ·   מְאַחֲרִין   ·   אַרְבָּעָה עָשָׂר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א. כרכים המוקפים חומה מימות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קוראים ב</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ב. כפרים ועיירות גדולות קוראים ב</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אלא שהכפרים מקדימים ל</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ג. עיר גדולה היא עיר שיש בה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ד. במגילה – מקדימין ולא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ה. ההבדל בין אדר ראשון לאדר שני: קריאת המגילה ו</w:t>
      </w:r>
      <w:r>
        <w:rPr>
          <w:rFonts w:ascii="Rubik MG" w:cs="Rubik MG" w:eastAsia="Rubik MG" w:hAnsi="Rubik MG"/>
          <w:b w:val="false"/>
          <w:color w:val="A69AA2"/>
          <w:sz w:val="24"/>
          <w:szCs w:val="24"/>
          <w:rtl/>
        </w:rPr>
        <w:t xml:space="preserve">‏________ ________ ________ ________‏</w:t>
      </w:r>
      <w:r>
        <w:rPr>
          <w:rFonts w:ascii="Rubik MG" w:cs="Rubik MG" w:eastAsia="Rubik MG" w:hAnsi="Rubik MG"/>
          <w:b w:val="false"/>
          <w:color w:val="2A1F28"/>
          <w:sz w:val="24"/>
          <w:szCs w:val="24"/>
          <w:rtl/>
        </w:rPr>
        <w:t xml:space="preserve">.</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לוח השבוע – כיצד?</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י"ד באדר חל ביום שני. השלימו מתי קורא כל מקום:</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5944"/>
            </w:tblGrid>
            <w:tr>
              <w:trPr>
                <w:cantSplit/>
                <w:tblHeader/>
              </w:trPr>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המקום</w:t>
                  </w:r>
                </w:p>
              </w:tc>
              <w:tc>
                <w:tcPr>
                  <w:tcW w:type="dxa" w:w="594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היום שבו קוראים</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כפרים</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עיירות גדולות</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כרכים מוקפים חומה</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ואם י"ד חל בערב שבת – מתי קוראים הכרכים המוקפים חומה, ולמה לא בשבת? (היעזרו בברטנורא למשנה ב)</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 אמר?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44"/>
                    <w:gridCol w:w="3962"/>
                  </w:tblGrid>
                  <w:tr>
                    <w:trPr>
                      <w:cantSplit/>
                      <w:tblHeader/>
                    </w:trPr>
                    <w:tc>
                      <w:tcPr>
                        <w:tcW w:type="dxa" w:w="594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הדעה</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 אמר?</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מקדימים ליום הכניסה רק במקום שנכנסים בו בשני ובחמישי; במקום אחר קוראים רק בזמנה.</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ספרים מותר לכתוב, חוץ מאשורית, רק ביוונית.</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ספרים נכתבים בכל לשון.</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238"/>
                    <w:gridCol w:w="3715"/>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משפט</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אמת / טעות</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תשעה באב שחל בשבת – מקדימים אותו ליום חמישי.</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בשבת ויום הכיפורים העונש של מי שעובר במזיד שווה.</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מודר הנאה אסור להיכנס לחצר של חברו.</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מצורע מוסגר צריך תגלחת וציפורים כשנטהר.</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פסחים הוקרבו גם בבמה קטנה.</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אחרי שחרבה שילה הותרו הבמות.</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טבלת סיכום – «אֵין בֵּין... אֶלָּא...»</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השלימו את ההבדל היחיד בכל זוג (משניות ד–יא):</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1"/>
        <w:gridCol w:w="2201"/>
        <w:gridCol w:w="2201"/>
        <w:gridCol w:w="4403"/>
      </w:tblGrid>
      <w:tr>
        <w:trPr>
          <w:cantSplit/>
          <w:tblHeader/>
        </w:trPr>
        <w:tc>
          <w:tcPr>
            <w:tcW w:type="dxa" w:w="11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משנה</w:t>
            </w:r>
          </w:p>
        </w:tc>
        <w:tc>
          <w:tcPr>
            <w:tcW w:type="dxa" w:w="22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דבר א</w:t>
            </w:r>
          </w:p>
        </w:tc>
        <w:tc>
          <w:tcPr>
            <w:tcW w:type="dxa" w:w="22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דבר ב</w:t>
            </w:r>
          </w:p>
        </w:tc>
        <w:tc>
          <w:tcPr>
            <w:tcW w:type="dxa" w:w="44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ההבדל היחיד</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ד</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אדר ראשון</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אדר שני</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טוב</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שבת</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שבת</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הכיפורים</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ו</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מודר הנאה</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מודר מאכל</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ו</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נדרים</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נדבות</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ז</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מצורע מוסגר</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מצורע מוחלט</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ח</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ספרים</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תפילין ומזוזות</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ט</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כהן משוח</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מרובה בגדים</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ט</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כהן משמש</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כהן שעבר</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במה גדולה</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במה קטנה</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יא</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שילה</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ירושלים</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למה הקלו חכמים על בני הכפרים והתירו להם להקדים את הקריאה ליום הכניסה? היעזרו בברטנורא למשנה א. מה זה מלמד על דאגת חכמים לעם?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4"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90"/>
                    <w:left w:type="dxa" w:w="300"/>
                    <w:bottom w:type="dxa" w:w="90"/>
                    <w:right w:type="dxa" w:w="300"/>
                  </w:tcMar>
                </w:tcPr>
                <w:p>
                  <w:pPr>
                    <w:keepNext w:val="false"/>
                    <w:keepLines/>
                    <w:bidi/>
                    <w:spacing w:after="0" w:before="0" w:line="279" w:lineRule="auto"/>
                    <w:jc w:val="center"/>
                  </w:pPr>
                  <w:r>
                    <w:rPr>
                      <w:rFonts w:ascii="Suez One" w:cs="Suez One" w:eastAsia="Suez One" w:hAnsi="Suez One"/>
                      <w:b w:val="false"/>
                      <w:color w:val="5B2245"/>
                      <w:sz w:val="26"/>
                      <w:szCs w:val="26"/>
                      <w:rtl/>
                    </w:rPr>
                    <w:t xml:space="preserve">הַדְרָן עֲלָךְ פֶּרֶק מְגִלָּה נִקְרֵאת</w:t>
                  </w:r>
                </w:p>
              </w:tc>
            </w:tr>
          </w:tbl>
          <w:p>
            <w:pPr>
              <w:spacing w:after="0" w:before="0" w:line="20" w:lineRule="exact"/>
            </w:pPr>
            <w:r>
              <w:rPr>
                <w:rFonts w:ascii="Rubik MG" w:cs="Rubik MG" w:eastAsia="Rubik MG" w:hAnsi="Rubik MG"/>
                <w:b w:val="false"/>
                <w:color w:val="2A1F28"/>
                <w:sz w:val="4"/>
                <w:szCs w:val="4"/>
                <w:rtl/>
              </w:rPr>
              <w:t xml:space="preserve"> </w:t>
            </w:r>
          </w:p>
        </w:tc>
      </w:tr>
    </w:tbl>
    <w:p>
      <w:pPr>
        <w:sectPr>
          <w:headerReference w:type="default" r:id="rId14"/>
          <w:footerReference w:type="default" r:id="rId15"/>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2A1F28"/>
          <w:sz w:val="8"/>
          <w:szCs w:val="8"/>
          <w:rtl/>
        </w:rPr>
        <w:t xml:space="preserve"> </w:t>
      </w:r>
    </w:p>
    <w:p>
      <w:pPr>
        <w:keepNext w:val="false"/>
        <w:keepLines/>
        <w:bidi/>
        <w:spacing w:after="0" w:before="0" w:line="279" w:lineRule="auto"/>
        <w:jc w:val="center"/>
      </w:pPr>
      <w:r>
        <w:rPr>
          <w:rFonts w:ascii="Rubik Medium MG" w:cs="Rubik Medium MG" w:eastAsia="Rubik Medium MG" w:hAnsi="Rubik Medium MG"/>
          <w:b w:val="false"/>
          <w:color w:val="A3541C"/>
          <w:sz w:val="25"/>
          <w:szCs w:val="25"/>
          <w:rtl/>
        </w:rPr>
        <w:t xml:space="preserve">מסכת מגילה</w:t>
      </w:r>
    </w:p>
    <w:p>
      <w:pPr>
        <w:keepNext w:val="false"/>
        <w:keepLines/>
        <w:bidi/>
        <w:spacing w:after="16" w:before="0" w:line="223" w:lineRule="auto"/>
        <w:jc w:val="center"/>
      </w:pPr>
      <w:r>
        <w:rPr>
          <w:rFonts w:ascii="Suez One" w:cs="Suez One" w:eastAsia="Suez One" w:hAnsi="Suez One"/>
          <w:b w:val="false"/>
          <w:color w:val="5B2245"/>
          <w:sz w:val="75"/>
          <w:szCs w:val="75"/>
          <w:rtl/>
        </w:rPr>
        <w:t xml:space="preserve">פרק שני – הקורא למפרע</w:t>
      </w:r>
    </w:p>
    <w:p>
      <w:pPr>
        <w:keepNext w:val="false"/>
        <w:keepLines/>
        <w:bidi/>
        <w:spacing w:after="48" w:before="0" w:line="279" w:lineRule="auto"/>
        <w:jc w:val="center"/>
      </w:pPr>
      <w:r>
        <w:rPr>
          <w:rFonts w:ascii="Rubik Medium MG" w:cs="Rubik Medium MG" w:eastAsia="Rubik Medium MG" w:hAnsi="Rubik Medium MG"/>
          <w:b w:val="false"/>
          <w:color w:val="1D6A66"/>
          <w:sz w:val="26"/>
          <w:szCs w:val="26"/>
          <w:rtl/>
        </w:rPr>
        <w:t xml:space="preserve">משניות א–ו</w:t>
      </w:r>
    </w:p>
    <w:p>
      <w:pPr>
        <w:keepNext w:val="false"/>
        <w:bidi/>
        <w:spacing w:after="176"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5143500" cy="3429000"/>
                    </a:xfrm>
                    <a:prstGeom prst="rect">
                      <a:avLst/>
                    </a:prstGeom>
                  </pic:spPr>
                </pic:pic>
              </a:graphicData>
            </a:graphic>
          </wp:inline>
        </w:drawing>
      </w:r>
    </w:p>
    <w:p>
      <w:pPr>
        <w:spacing w:after="0" w:before="0" w:line="208"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6EDF2"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5B2245"/>
                <w:sz w:val="24"/>
                <w:szCs w:val="24"/>
                <w:rtl/>
              </w:rPr>
              <w:t xml:space="preserve">איך קוראים את המגילה?</w:t>
            </w:r>
            <w:r>
              <w:rPr>
                <w:rFonts w:ascii="Rubik Bold MG" w:cs="Rubik Bold MG" w:eastAsia="Rubik Bold MG" w:hAnsi="Rubik Bold MG"/>
                <w:b w:val="false"/>
                <w:color w:val="A3541C"/>
                <w:sz w:val="23"/>
                <w:szCs w:val="23"/>
                <w:rtl/>
              </w:rPr>
              <w:t xml:space="preserve">   ·   עמוד 34</w:t>
            </w:r>
          </w:p>
          <w:p>
            <w:pPr>
              <w:bidi/>
              <w:spacing w:after="50" w:before="0"/>
              <w:jc w:val="both"/>
            </w:pPr>
            <w:r>
              <w:rPr>
                <w:rFonts w:ascii="Rubik Medium MG" w:cs="Rubik Medium MG" w:eastAsia="Rubik Medium MG" w:hAnsi="Rubik Medium MG"/>
                <w:b w:val="false"/>
                <w:color w:val="5B2245"/>
                <w:sz w:val="24"/>
                <w:szCs w:val="24"/>
                <w:rtl/>
              </w:rPr>
              <w:t xml:space="preserve">בן עיר ובן כרך · מי כשר לקרוא?</w:t>
            </w:r>
            <w:r>
              <w:rPr>
                <w:rFonts w:ascii="Rubik Bold MG" w:cs="Rubik Bold MG" w:eastAsia="Rubik Bold MG" w:hAnsi="Rubik Bold MG"/>
                <w:b w:val="false"/>
                <w:color w:val="A3541C"/>
                <w:sz w:val="23"/>
                <w:szCs w:val="23"/>
                <w:rtl/>
              </w:rPr>
              <w:t xml:space="preserve">   ·   עמוד 38</w:t>
            </w:r>
          </w:p>
          <w:p>
            <w:pPr>
              <w:bidi/>
              <w:spacing w:after="50" w:before="0"/>
              <w:jc w:val="both"/>
            </w:pPr>
            <w:r>
              <w:rPr>
                <w:rFonts w:ascii="Rubik Medium MG" w:cs="Rubik Medium MG" w:eastAsia="Rubik Medium MG" w:hAnsi="Rubik Medium MG"/>
                <w:b w:val="false"/>
                <w:color w:val="5B2245"/>
                <w:sz w:val="24"/>
                <w:szCs w:val="24"/>
                <w:rtl/>
              </w:rPr>
              <w:t xml:space="preserve">כל היום כשר, כל הלילה כשר</w:t>
            </w:r>
            <w:r>
              <w:rPr>
                <w:rFonts w:ascii="Rubik Bold MG" w:cs="Rubik Bold MG" w:eastAsia="Rubik Bold MG" w:hAnsi="Rubik Bold MG"/>
                <w:b w:val="false"/>
                <w:color w:val="A3541C"/>
                <w:sz w:val="23"/>
                <w:szCs w:val="23"/>
                <w:rtl/>
              </w:rPr>
              <w:t xml:space="preserve">   ·   עמוד 41</w:t>
            </w:r>
          </w:p>
          <w:p>
            <w:pPr>
              <w:bidi/>
              <w:spacing w:after="50" w:before="0"/>
              <w:jc w:val="both"/>
            </w:pPr>
            <w:r>
              <w:rPr>
                <w:rFonts w:ascii="Rubik Medium MG" w:cs="Rubik Medium MG" w:eastAsia="Rubik Medium MG" w:hAnsi="Rubik Medium MG"/>
                <w:b w:val="false"/>
                <w:color w:val="5B2245"/>
                <w:sz w:val="24"/>
                <w:szCs w:val="24"/>
                <w:rtl/>
              </w:rPr>
              <w:t xml:space="preserve">חזרה – פרק שני</w:t>
            </w:r>
            <w:r>
              <w:rPr>
                <w:rFonts w:ascii="Rubik Bold MG" w:cs="Rubik Bold MG" w:eastAsia="Rubik Bold MG" w:hAnsi="Rubik Bold MG"/>
                <w:b w:val="false"/>
                <w:color w:val="A3541C"/>
                <w:sz w:val="23"/>
                <w:szCs w:val="23"/>
                <w:rtl/>
              </w:rPr>
              <w:t xml:space="preserve">   ·   עמוד 44</w:t>
            </w:r>
          </w:p>
        </w:tc>
      </w:tr>
    </w:tbl>
    <w:p>
      <w:pPr>
        <w:sectPr>
          <w:headerReference w:type="default" r:id="rId16"/>
          <w:footerReference w:type="default" r:id="rId17"/>
          <w:pgSz w:w="11906" w:h="16838" w:orient="portrait"/>
          <w:pgMar w:top="1380" w:right="1000" w:bottom="1150" w:left="1000" w:header="330" w:footer="420" w:gutter="0"/>
          <w:pgNumType/>
          <w:docGrid w:linePitch="360"/>
        </w:sectPr>
      </w:pPr>
    </w:p>
    <w:p>
      <w:pPr>
        <w:spacing w:after="0" w:before="0" w:line="240"/>
      </w:pPr>
      <w:r>
        <w:rPr>
          <w:rFonts w:ascii="Arial" w:cs="Arial" w:eastAsia="Arial" w:hAnsi="Arial"/>
          <w:color w:val="FDF8F2"/>
          <w:sz w:val="2"/>
          <w:szCs w:val="2"/>
        </w:rPr>
        <w:t xml:space="preserve">QQS8QQ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24"/>
                <w:szCs w:val="24"/>
                <w:rtl/>
              </w:rPr>
              <w:t xml:space="preserve">פרק שני – הקורא למפרע · פרק ב · משניות א–ב</w:t>
            </w:r>
          </w:p>
          <w:p>
            <w:pPr>
              <w:keepNext/>
              <w:keepLines/>
              <w:bidi/>
              <w:spacing w:after="60" w:before="0" w:line="240" w:lineRule="auto"/>
              <w:jc w:val="both"/>
            </w:pPr>
            <w:r>
              <w:rPr>
                <w:rFonts w:ascii="Suez One" w:cs="Suez One" w:eastAsia="Suez One" w:hAnsi="Suez One"/>
                <w:b w:val="false"/>
                <w:color w:val="5B2245"/>
                <w:sz w:val="51"/>
                <w:szCs w:val="51"/>
                <w:rtl/>
              </w:rPr>
              <w:t xml:space="preserve">איך קוראים את המגילה?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לדעת באיזה אופן יוצאים ידי חובת קריאת המגילה ובאיזה אופן לא // להבחין בין מקרים שבהם «יָצָא» לבין מקרים שבהם «לֹא יָצָא» // להבין בעזרת הברטנורא מאיזה פסוק נלמדים הדינים // לזהות מה צריך להיות כתוב במגילה כשרה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בפרק הראשון למדנו מָתַי קוראים את המגילה. בפרק השני נלמד אֵיךְ קוראים אותה: בסדר, מתוך הכתב, בלשון שמבינים – ובמגילה כשרה.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הַקּוֹרֵא אֶת הַמְּגִלָּה לְמַפְרֵעַ, לֹא יָצָא. קְרָאָהּ עַל פֶּה, קְרָאָהּ תַּרְגּוּם, בְּכָל לָשׁוֹן, לֹא יָצָא. אֲבָל קוֹרִין אוֹתָהּ לַלּוֹעֲזוֹת בְּלַעַז. וְהַלּוֹעֵז שֶׁשָּׁמַע אַשּׁוּרִית, יָצָא.</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ב', משנה א')</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קְרָאָהּ סֵרוּגִין, וּמִתְנַמְנֵם, יָצָא. הָיָה כּוֹתְבָהּ, דּוֹרְשָׁהּ, וּמַגִּיהָהּ, אִם כִּוֵּן לִבּוֹ, יָצָא. וְאִם לָאו, לֹא יָצָא. הָיְתָה כְתוּבָה בְּסַם, וּבְסִקְרָא, וּבְקוֹמוֹס וּבְקַנְקַנְתּוּם, עַל הַנְּיָר וְעַל הַדִּפְתָּרָא, לֹא יָצָא, עַד שֶׁתְּהֵא כְּתוּבָה אַשּׁוּרִית עַל הַסֵּפֶר וּבִדְיוֹ.</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ב', משנה ב')</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לְמַפְרֵעַ</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שלא לפי הסדר: מהסוף להתחלה, או פסוק מאוחר לפני פסוק מוקדם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עַל פֶּה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בלי לקרוא מתוך הכתב, מהזיכרון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לַלּוֹעֲזוֹת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לאנשים שמדברים בשפה זרה (לא עברית)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אַשּׁוּרִית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הכתב והלשון של התורה – לשון הקודש</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סֵרוּגִין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בהפסקות: קורא מעט, עוצר, וממשיך</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וּמִתְנַמְנֵם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נרדם קצת, חצי ער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כִּוֵּן לִבּוֹ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התכוון לצאת ידי חובה בקריאה הזאת</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משנה א</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מלאו את התרשים לפי משנה א. בכל שורה – מקרה אחר.</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1"/>
              <w:gridCol w:w="1101"/>
              <w:gridCol w:w="2201"/>
              <w:gridCol w:w="1101"/>
              <w:gridCol w:w="3302"/>
            </w:tblGrid>
            <w:tr>
              <w:trPr>
                <w:cantSplit/>
                <w:tblHeader/>
              </w:trPr>
              <w:tc>
                <w:tcPr>
                  <w:tcW w:type="dxa" w:w="22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1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2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11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 (לפי הברטנורא)</w:t>
                  </w:r>
                </w:p>
              </w:tc>
            </w:tr>
            <w:tr>
              <w:trPr>
                <w:cantSplit/>
                <w:tblHeader w:val="false"/>
                <w:trHeight w:val="500" w:hRule="atLeast"/>
              </w:trPr>
              <w:tc>
                <w:tcPr>
                  <w:tcW w:type="dxa" w:w="22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2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1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1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2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ראובן קרא את המגילה, אבל דילג על פסוק בפרק ב' וקרא אותו רק בסוף. לפי המשנה הוא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כי קרא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ההבדל בין «קְרָאָהּ תַּרְגּוּם» לבין «קוֹרִין אוֹתָהּ לַלּוֹעֲזוֹת בְּלַעַז»? למה באחד לא יצא ובשני יצא?</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«וְהַלּוֹעֵז שֶׁשָּׁמַע אַשּׁוּרִית, יָצָא». מה מיוחד בדין הזה? (רמז: האם הלועז מבין עברית?)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במשנה ב יש שלושה מקרים שבהם הקורא «יָצָא» אף על פי שהקריאה לא הייתה רגילה. כתבו אותם: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התנאי של המשנה למי שהיה כותב את המגילה או מגיה אותה בזמן הקריאה?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השלימו: מגילה כשרה צריכה להיות כתובה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על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(קלף), ו</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הקורא את המגלה למפרע לא יצא – </w:t>
                        </w:r>
                        <w:r>
                          <w:rPr>
                            <w:rFonts w:ascii="Frank Ruhl TB" w:cs="Frank Ruhl TB" w:eastAsia="Frank Ruhl TB" w:hAnsi="Frank Ruhl TB"/>
                            <w:b w:val="false"/>
                            <w:color w:val="2A1F28"/>
                            <w:sz w:val="25"/>
                            <w:szCs w:val="25"/>
                            <w:rtl/>
                          </w:rPr>
                          <w:t xml:space="preserve">דכתיב (אסתר ט) והימים האלה נזכרים ונעשים, מה עשיית הימים א"א למפרע, דא"א שיהא חמשה עשר קודם ארבעה עשר, אף זכירה שהיא קריאת המגילה, למפרע לא: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איזה קושי פותר הברטנורא? (המשנה אומרת «לא יצא» – מה היא לא אומרת?)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הסבירו במילים שלכם את ההשוואה שעושה הברטנורא בין «נזכרים» לבין «ונעשים».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קראה על פה – </w:t>
                  </w:r>
                  <w:r>
                    <w:rPr>
                      <w:rFonts w:ascii="Frank Ruhl TB" w:cs="Frank Ruhl TB" w:eastAsia="Frank Ruhl TB" w:hAnsi="Frank Ruhl TB"/>
                      <w:b w:val="false"/>
                      <w:color w:val="2A1F28"/>
                      <w:sz w:val="25"/>
                      <w:szCs w:val="25"/>
                      <w:rtl/>
                    </w:rPr>
                    <w:t xml:space="preserve">לא יצא. כתיב הכא נזכרים, וכתיב התם (שמות יז) כתוב זאת זכרון בספר: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מה מבאר הברטנורא? מאיזו מילה בפסוק לומדים שצריך לקרוא דווקא מתוך מגילה כתובה?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238"/>
                    <w:gridCol w:w="3715"/>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שקרא את המגילה בהפסקות (סירוגין) – לא יצא.</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שקרא את המגילה מהזיכרון – לא יצא.</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מגילה שנכתבה בצבע אדום (סִקְרָא) – כשרה.</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מגילה שנכתבה על נייר – לא יוצאים בה.</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שהגיה את המגילה בזמן הקריאה ולא התכוון לצאת – יצא.</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הלכות רבות במשנה דורשות שהקריאה תהיה מסודרת, מתוך הכתב, ובהבנה. הן מלמדות שהמגילה היא לא סיפור שמספרים בעל פה – היא ספר מכתבי הקודש.</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10.  </w:t>
      </w:r>
      <w:r>
        <w:rPr>
          <w:rFonts w:ascii="Rubik MG" w:cs="Rubik MG" w:eastAsia="Rubik MG" w:hAnsi="Rubik MG"/>
          <w:b w:val="false"/>
          <w:color w:val="2A1F28"/>
          <w:sz w:val="24"/>
          <w:szCs w:val="24"/>
          <w:rtl/>
        </w:rPr>
        <w:t xml:space="preserve">בליל פורים בבית הכנסת: מה אתם יכולים לעשות כדי לשמוע כל מילה ולצאת ידי חובה? כתבו שתי דרכים.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«קוֹרִין אוֹתָהּ לַלּוֹעֲזוֹת בְּלַעַז» – הברטנורא מוסיף תנאי: «ובלבד שתהא כתובה באותו לשון, שלא יהא קורא על פה». כלומר, גם כשקוראים בלשון אחרת – קוראים מתוך מגילה כתובה בלשון הזאת.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4191000" cy="2790825"/>
                    </a:xfrm>
                    <a:prstGeom prst="rect">
                      <a:avLst/>
                    </a:prstGeom>
                  </pic:spPr>
                </pic:pic>
              </a:graphicData>
            </a:graphic>
          </wp:inline>
        </w:drawing>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QQS9QQ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שני – הקורא למפרע · פרק ב · משניות ג–ד</w:t>
            </w:r>
          </w:p>
          <w:p>
            <w:pPr>
              <w:keepNext/>
              <w:keepLines/>
              <w:bidi/>
              <w:spacing w:after="60" w:before="0" w:line="240" w:lineRule="auto"/>
              <w:jc w:val="both"/>
            </w:pPr>
            <w:r>
              <w:rPr>
                <w:rFonts w:ascii="Suez One" w:cs="Suez One" w:eastAsia="Suez One" w:hAnsi="Suez One"/>
                <w:b w:val="false"/>
                <w:color w:val="5B2245"/>
                <w:sz w:val="51"/>
                <w:szCs w:val="51"/>
                <w:rtl/>
              </w:rPr>
              <w:t xml:space="preserve">בן עיר ובן כרך · מי כשר לקרוא?</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לדעת מתי קורא בן עיר שהלך לכרך ובן כרך שהלך לעיר // לזהות את המחלוקת: מהיכן קוראים את המגילה כדי לצאת ידי חובה // להבין את דברי הברטנורא על «עתיד לחזור למקומו»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בפרק הראשון למדנו: בני עיירות קוראים בי"ד באדר, ובני כרכים המוקפים חומה – בט"ו. ומה עושה מי שעובר ממקום למקום?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בֶּן עִיר שֶׁהָלַךְ לִכְרַךְ וּבֶן כְּרַךְ שֶׁהָלַךְ לְעִיר, אִם עָתִיד לַחֲזוֹר לִמְקוֹמוֹ, קוֹרֵא כִּמְקוֹמוֹ..:::וְאִם לָאו, קוֹרֵא עִמָּהֶן. וּמֵהֵיכָן קוֹרֵא אָדָם אֶת הַמְּגִלָּה וְיוֹצֵא בָהּ יְדֵי חוֹבָתוֹ? רַבִּי מֵאִיר אוֹמֵר, כֻּלָּהּ. רַבִּי יְהוּדָה אוֹמֵר, מֵאִישׁ יְהוּדִי. רַבִּי יוֹסֵי אוֹמֵר, מֵאַחַר הַדְּבָרִים הָאֵלֶּה.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ב', משנה ג')</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הַכֹּל כְּשֵׁרִין לִקְרוֹת אֶת הַמְּגִלָּה, חוּץ מֵחֵרֵשׁ, שׁוֹטֶה, וְקָטָן. רַבִּי יְהוּדָה מַכְשִׁיר בְּקָטָן. אֵין קוֹרִין אֶת הַמְּגִלָּה, וְלֹא מָלִין, וְלֹא טוֹבְלִין וְלֹא מַזִּין, וְכֵן שׁוֹמֶרֶת יוֹם כְּנֶגֶד יוֹם לֹא תִּטְבֹּל, עַד שֶׁתָּנֵץ הַחַמָּה. וְכֻלָּן שֶׁעָשׂוּ מִשֶּׁעָלָה עַמּוּד הַשַּׁחַר, כָּשֵׁר.</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ב', משנה ד')</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בֶּן עִיר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תושב של עיר בלי חומה מימות יהושע – קורא בי"ד באדר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בֶּן כְּרַךְ</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תושב של עיר מוקפת חומה מימות יהושע – קורא בט"ו באדר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קוֹרֵא עִמָּהֶן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 ביחד עם אנשי המקום שהגיע אליו, ביום שלהם</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רישא של משנה ג</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1"/>
                    <w:gridCol w:w="901"/>
                    <w:gridCol w:w="2702"/>
                    <w:gridCol w:w="1801"/>
                    <w:gridCol w:w="2701"/>
                  </w:tblGrid>
                  <w:tr>
                    <w:trPr>
                      <w:cantSplit/>
                      <w:tblHeader/>
                    </w:trPr>
                    <w:tc>
                      <w:tcPr>
                        <w:tcW w:type="dxa" w:w="18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9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7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18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7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7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8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7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7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8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7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יוסף גר בפתח תקווה (עיר) ונסע לבקר את סבא בירושלים (כרך). הוא חוזר הביתה לפני הזמן שבו קוראים בירושלים. לפי המשנה, הוא קורא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כלומר ביום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באדר.</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ומה הדין אם יוסף נשאר בירושלים גם בזמן הקריאה שם ואינו חוזר?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ביום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באדר.</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«וּמֵהֵיכָן קוֹרֵא אָדָם אֶת הַמְּגִלָּה וְיוֹצֵא בָהּ יְדֵי חוֹבָתוֹ?» – שלושה תנאים חולקים. נושא המחלוקת: </w:t>
            </w:r>
            <w:r>
              <w:rPr>
                <w:rFonts w:ascii="Rubik MG" w:cs="Rubik MG" w:eastAsia="Rubik MG" w:hAnsi="Rubik MG"/>
                <w:b w:val="false"/>
                <w:color w:val="A69AA2"/>
                <w:sz w:val="24"/>
                <w:szCs w:val="24"/>
                <w:rtl/>
              </w:rPr>
              <w:t xml:space="preserve">‏________ ________ ________ ________ ________ ________‏</w:t>
            </w:r>
            <w:r>
              <w:rPr>
                <w:rFonts w:ascii="Rubik MG" w:cs="Rubik MG" w:eastAsia="Rubik MG" w:hAnsi="Rubik MG"/>
                <w:b w:val="false"/>
                <w:color w:val="2A1F28"/>
                <w:sz w:val="24"/>
                <w:szCs w:val="24"/>
                <w:rtl/>
              </w:rPr>
              <w:t xml:space="preserve">.</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3302"/>
              <w:gridCol w:w="4953"/>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אומר?</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דעתו?</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סברה אפשרית (במילים שלכם)</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A69AA2"/>
                      <w:sz w:val="23"/>
                      <w:szCs w:val="23"/>
                      <w:rtl/>
                    </w:rPr>
                    <w:t xml:space="preserve">‏________ ________ ________‏</w:t>
                  </w:r>
                  <w:r>
                    <w:rPr>
                      <w:rFonts w:ascii="Rubik MG" w:cs="Rubik MG" w:eastAsia="Rubik MG" w:hAnsi="Rubik MG"/>
                      <w:b w:val="false"/>
                      <w:color w:val="2A1F28"/>
                      <w:sz w:val="23"/>
                      <w:szCs w:val="23"/>
                      <w:rtl/>
                    </w:rPr>
                    <w:t xml:space="preserve"> (פרק ב)</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A69AA2"/>
                      <w:sz w:val="23"/>
                      <w:szCs w:val="23"/>
                      <w:rtl/>
                    </w:rPr>
                    <w:t xml:space="preserve">‏________ ________ ________ ________‏</w:t>
                  </w:r>
                  <w:r>
                    <w:rPr>
                      <w:rFonts w:ascii="Rubik MG" w:cs="Rubik MG" w:eastAsia="Rubik MG" w:hAnsi="Rubik MG"/>
                      <w:b w:val="false"/>
                      <w:color w:val="2A1F28"/>
                      <w:sz w:val="23"/>
                      <w:szCs w:val="23"/>
                      <w:rtl/>
                    </w:rPr>
                    <w:t xml:space="preserve"> (פרק ג)</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כמי ההלכה?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קוראים את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(מי אומר זאת?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אם עתיד לחזור למקומו – </w:t>
                        </w:r>
                        <w:r>
                          <w:rPr>
                            <w:rFonts w:ascii="Frank Ruhl TB" w:cs="Frank Ruhl TB" w:eastAsia="Frank Ruhl TB" w:hAnsi="Frank Ruhl TB"/>
                            <w:b w:val="false"/>
                            <w:color w:val="2A1F28"/>
                            <w:sz w:val="25"/>
                            <w:szCs w:val="25"/>
                            <w:rtl/>
                          </w:rPr>
                          <w:t xml:space="preserve">אם הוא בן כרך שהלך לעיר ועתיד לצאת מן העיר בליל י"ד קודם עמוד השחר ... הלכך קורא כמקומו בט"ו.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מה מבאר הברטנורא? עד מתי צריך בן הכרך לצאת מן העיר כדי שייחשב «עתיד לחזור למקומו»?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ההלכה – כרבי מאיר: יוצאים ידי חובה רק בשמיעת כל המגילה, מתחילתה ועד סופה. לכן חשוב לא להחמיץ אף מילה – גם לא בזמן שמרעישים בשם המן!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4191000" cy="2790825"/>
                    </a:xfrm>
                    <a:prstGeom prst="rect">
                      <a:avLst/>
                    </a:prstGeom>
                  </pic:spPr>
                </pic:pic>
              </a:graphicData>
            </a:graphic>
          </wp:inline>
        </w:drawing>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QQS10QQ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שני – הקורא למפרע · פרק ב · משניות ה–ו</w:t>
            </w:r>
          </w:p>
          <w:p>
            <w:pPr>
              <w:keepNext/>
              <w:keepLines/>
              <w:bidi/>
              <w:spacing w:after="60" w:before="0" w:line="240" w:lineRule="auto"/>
              <w:jc w:val="both"/>
            </w:pPr>
            <w:r>
              <w:rPr>
                <w:rFonts w:ascii="Suez One" w:cs="Suez One" w:eastAsia="Suez One" w:hAnsi="Suez One"/>
                <w:b w:val="false"/>
                <w:color w:val="5B2245"/>
                <w:sz w:val="51"/>
                <w:szCs w:val="51"/>
                <w:rtl/>
              </w:rPr>
              <w:t xml:space="preserve">כל היום כשר, כל הלילה כשר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להכיר מצוות שזמנן בלילה // להבין את «זה הכלל» שבסוף משנה ו ולהשתמש בו // לעיין בברטנורא: מדוע אמרו חכמים «עד חצות»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המשנה הקודמת סיימה ב«עמוד השחר» וב«הנץ החמה». עכשיו המשנה מרחיבה: אילו מצוות כשרות כל היום, ואילו – כל הלילה?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כָּל הַיּוֹם כָּשֵׁר לִקְרִיאַת הַמְּגִלָּה, וְלִקְרִיאַת הַהַלֵּל, וְלִתְקִיעַת שׁוֹפָר, וְלִנְטִילַת לוּלָב, וְלִתְפִלַּת הַמּוּסָפִין, וְלַמּוּסָפִין, וּלְוִדּוּי הַפָּרִים, וּלְוִדּוּי הַמַּעֲשֵׂר, וּלְוִדּוּי יוֹם הַכִּפּוּרִים, לִסְמִיכָה, לִשְׁחִיטָה, לִתְנוּפָה, לְהַגָּשָׁה, לִקְמִיצָה וּלְהַקְטָרָה, לִמְלִיקָה, וּלְקַבָּלָה, וּלְהַזָּיָה, וּלְהַשְׁקָיַת סוֹטָה, וְלַעֲרִיפַת הָעֶגְלָה, וּלְטָהֳרַת הַמְּצֹרָע.</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ב', משנה ה')</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כָּל הַלַּיְלָה כָּשֵׁר לִקְצִירַת הָעֹמֶר וּלְהֶקְטֵר חֲלָבִים וְאֵבָרִים. זֶה הַכְּלָל, דָּבָר שֶׁמִּצְוָתוֹ בַיּוֹם, כָּשֵׁר כָּל הַיּוֹם. דָּבָר שֶׁמִּצְוָתוֹ בַּלַּיְלָה, כָּשֵׁר כָּל הַלַּיְלָה.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ב', משנה ו')</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כָּל הַיּוֹם כָּשֵׁר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מותר לעשות את המצווה בכל שעות היום, מעמוד השחר עד צאת הכוכבים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לִקְצִירַת הָעֹמֶר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קצירת השעורים לקרבן העומר במוצאי היום הראשון של פסח</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חֲלָבִים וְאֵבָרִים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חלקי הקרבן שמקטירים (שורפים) על המזבח</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זֶה הַכְּלָל</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משפט כללי שמסכם את כל הדוגמאות</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כתבו שני דברים שכשרים כל הלילה: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 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הסבירו במילים שלכם את «זה הכלל» שבמשנה 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ולהקטר חלבים ואברים – </w:t>
                        </w:r>
                        <w:r>
                          <w:rPr>
                            <w:rFonts w:ascii="Frank Ruhl TB" w:cs="Frank Ruhl TB" w:eastAsia="Frank Ruhl TB" w:hAnsi="Frank Ruhl TB"/>
                            <w:b w:val="false"/>
                            <w:color w:val="2A1F28"/>
                            <w:sz w:val="25"/>
                            <w:szCs w:val="25"/>
                            <w:rtl/>
                          </w:rPr>
                          <w:t xml:space="preserve">מותרי תמיד של בין הערבים, דכתיב בהו (ויקרא ו) היא העולה על מוקדה על המזבח כל הלילה: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מאיזה פסוק לומד הברטנורא שהקטר חלבים ואברים כשר כל הלילה? העתיקו את המילים החשובות: «</w:t>
      </w:r>
      <w:r>
        <w:rPr>
          <w:rFonts w:ascii="Rubik MG" w:cs="Rubik MG" w:eastAsia="Rubik MG" w:hAnsi="Rubik MG"/>
          <w:b w:val="false"/>
          <w:color w:val="A69AA2"/>
          <w:sz w:val="24"/>
          <w:szCs w:val="24"/>
          <w:rtl/>
        </w:rPr>
        <w:t xml:space="preserve">‏________ ________ ________ ________‏</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ודבר שמצותו בלילה כשר כל הלילה – </w:t>
                  </w:r>
                  <w:r>
                    <w:rPr>
                      <w:rFonts w:ascii="Frank Ruhl TB" w:cs="Frank Ruhl TB" w:eastAsia="Frank Ruhl TB" w:hAnsi="Frank Ruhl TB"/>
                      <w:b w:val="false"/>
                      <w:color w:val="2A1F28"/>
                      <w:sz w:val="25"/>
                      <w:szCs w:val="25"/>
                      <w:rtl/>
                    </w:rPr>
                    <w:t xml:space="preserve">לאתויי אכילת פסחים שכשר כל הלילה. ולא אמרו חכמים עד חצות אלא כדי להרחיק את האדם מן העבירה: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איזו מצווה «מוסיף» הברטנורא ל«זה הכלל»? </w:t>
      </w:r>
      <w:r>
        <w:rPr>
          <w:rFonts w:ascii="Rubik MG" w:cs="Rubik MG" w:eastAsia="Rubik MG" w:hAnsi="Rubik MG"/>
          <w:b w:val="false"/>
          <w:color w:val="A69AA2"/>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לפי הברטנורא, אם אכילת הפסח כשרה כל הלילה – למה אמרו חכמים «עד חצות»?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מה ההבדל?</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 </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מצווה שזמנה ביום</w:t>
                        </w:r>
                      </w:p>
                    </w:tc>
                    <w:tc>
                      <w:tcPr>
                        <w:tcW w:type="dxa" w:w="371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מצווה שזמנה בלילה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מתי כשרה?</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דוגמה מן הברטנורא</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חכמים עשו «גדר»: הקדימו את הזמן (עד חצות), כדי שאדם לא יגיע בטעות לאיסור.</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חשבו על מצב בחיים שלכם שבו כדאי לקבוע לעצמכם «זמן מוקדם» כדי לא לפספס משהו חשוב (למשל קריאת שמע, תפילה, הגשת עבודה). כתבו מה הייתם עושים.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«זריזין מקדימין למצוות» – אף על פי שכל היום כשר, טוב לקיים מצווה מוקדם ככל האפשר, כמו אברהם אבינו שהשכים בבוקר.</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לכן רבים נוהגים לשמוע את קריאת המגילה ביום מוקדם בבוקר, בתפילת שחרית.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4191000" cy="2790825"/>
                    </a:xfrm>
                    <a:prstGeom prst="rect">
                      <a:avLst/>
                    </a:prstGeom>
                  </pic:spPr>
                </pic:pic>
              </a:graphicData>
            </a:graphic>
          </wp:inline>
        </w:drawing>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QQS11QQ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שני – הקורא למפרע · חזרה · פרק ב</w:t>
            </w:r>
          </w:p>
          <w:p>
            <w:pPr>
              <w:keepNext/>
              <w:keepLines/>
              <w:bidi/>
              <w:spacing w:after="60" w:before="0" w:line="240" w:lineRule="auto"/>
              <w:jc w:val="both"/>
            </w:pPr>
            <w:r>
              <w:rPr>
                <w:rFonts w:ascii="Suez One" w:cs="Suez One" w:eastAsia="Suez One" w:hAnsi="Suez One"/>
                <w:b w:val="false"/>
                <w:color w:val="5B2245"/>
                <w:sz w:val="51"/>
                <w:szCs w:val="51"/>
                <w:rtl/>
              </w:rPr>
              <w:t xml:space="preserve">חזרה – פרק שני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לחזור על כל שש המשניות של פרק «הקורא למפרע» // לזכור מי אמר מה בכל מחלוקת // לסכם את דיני קריאת המגילה בטבלה אחת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התאימו כל משנה לנושא שלה.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משנה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הנושא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א</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זמני מצוות שכשרות כל הלילה, ו«זה הכלל»</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ב</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מי כשר לקרוא, ומה עושים רק אחרי הנץ החמה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ג</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קריאה למפרע, על פה ובלשון אחרת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ד</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קריאה בסירוגין, בכוונה, ובמה כותבים מגילה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בן עיר ובן כרך, ומהיכן קוראים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ו</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מצוות שכשרות כל היום</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 אמר?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04"/>
                    <w:gridCol w:w="3302"/>
                  </w:tblGrid>
                  <w:tr>
                    <w:trPr>
                      <w:cantSplit/>
                      <w:tblHeader/>
                    </w:trPr>
                    <w:tc>
                      <w:tcPr>
                        <w:tcW w:type="dxa" w:w="660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הדעה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את המגילה כולה כדי לצאת ידי חובה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מֵאִישׁ יְהוּדִי</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מֵאַחַר הַדְּבָרִים הָאֵלֶּה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קטן כשר לקרוא את המגילה</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הקורא ולא השמיע לאזניו – לא יצא (לפי הברטנורא)</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כמי ההלכה בשתי המחלוקות של רבי יהודה?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קוראים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(כרבי מאיר), וקטן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להוציא אחרים.</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238"/>
                    <w:gridCol w:w="3715"/>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שקרא את המגילה מתוך חומש מודפס – יצא.</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שהתנמנם קצת בזמן הקריאה – יצא.</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בן כרך שהגיע לעיר ואינו עתיד לחזור – קורא כמקומו.</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שקרא את המגילה ביום אחרי עמוד השחר – לא יצא.</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קצירת העומר כשרה כל הלילה.</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תקיעת שופר כשרה רק בשעה הראשונה של היום.</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24"/>
                      <w:szCs w:val="24"/>
                      <w:rtl/>
                    </w:rPr>
                    <w:t xml:space="preserve">לְמַפְרֵעַ   ·   עַל פֶּה   ·   סֵרוּגִין   ·   כִּוֵּן לִבּוֹ   ·   בִדְיוֹ   ·   עִמָּהֶן   ·   חֵרֵשׁ   ·   הַנֵּץ הַחַמָּה   ·   הַלַּיְלָה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א. הקורא את המגילה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מסוף להתחלה – לא יצא.</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 מי שקרא מן הזיכרון,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לא יצא.</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ג. מי שקרא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בהפסקות – יצא.</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ד. הכותב את המגילה בזמן הקריאה יוצא רק אם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ה. מגילה כשרה כתובה על קלף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ו. בן עיר שהלך לכרך ואינו עתיד לחזור – קורא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ז.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שוטה וקטן אינם כשרים לקרוא את המגילה.</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ח. אין קוראים את המגילה ביום עד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ט. דבר שמצוותו בלילה – כשר כל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טבלת סיכום – דיני קריאת המגילה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נושא</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יצא / כשר</w:t>
                        </w:r>
                      </w:p>
                    </w:tc>
                    <w:tc>
                      <w:tcPr>
                        <w:tcW w:type="dxa" w:w="371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לא יצא / פסול</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סדר הקריאה</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ממה קוראים?</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לשון</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הכתב והחומר</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קורא?</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מאיזה מקום?</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זמן ביום</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בפרק הזה יש כמה דינים שמלמדים שהמגילה היא ספר קדוש ולא רק סיפור. בחרו שני דינים כאלה והסבירו מה הם מלמדים.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90"/>
                    <w:left w:type="dxa" w:w="300"/>
                    <w:bottom w:type="dxa" w:w="90"/>
                    <w:right w:type="dxa" w:w="300"/>
                  </w:tcMar>
                </w:tcPr>
                <w:p>
                  <w:pPr>
                    <w:keepNext w:val="false"/>
                    <w:keepLines/>
                    <w:bidi/>
                    <w:spacing w:after="0" w:before="0" w:line="300" w:lineRule="auto"/>
                    <w:jc w:val="center"/>
                  </w:pPr>
                  <w:r>
                    <w:rPr>
                      <w:rFonts w:ascii="Suez One" w:cs="Suez One" w:eastAsia="Suez One" w:hAnsi="Suez One"/>
                      <w:b w:val="false"/>
                      <w:color w:val="5B2245"/>
                      <w:sz w:val="26"/>
                      <w:szCs w:val="26"/>
                      <w:rtl/>
                    </w:rPr>
                    <w:t xml:space="preserve">הדרן עלך פרק הקורא למפרע</w:t>
                  </w:r>
                </w:p>
              </w:tc>
            </w:tr>
          </w:tbl>
          <w:p>
            <w:pPr>
              <w:spacing w:after="0" w:before="0" w:line="20" w:lineRule="exact"/>
            </w:pPr>
            <w:r>
              <w:rPr>
                <w:rFonts w:ascii="Rubik MG" w:cs="Rubik MG" w:eastAsia="Rubik MG" w:hAnsi="Rubik MG"/>
                <w:b w:val="false"/>
                <w:color w:val="2A1F28"/>
                <w:sz w:val="4"/>
                <w:szCs w:val="4"/>
                <w:rtl/>
              </w:rPr>
              <w:t xml:space="preserve"> </w:t>
            </w:r>
          </w:p>
        </w:tc>
      </w:tr>
    </w:tbl>
    <w:p>
      <w:pPr>
        <w:sectPr>
          <w:headerReference w:type="default" r:id="rId18"/>
          <w:footerReference w:type="default" r:id="rId19"/>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2A1F28"/>
          <w:sz w:val="8"/>
          <w:szCs w:val="8"/>
          <w:rtl/>
        </w:rPr>
        <w:t xml:space="preserve"> </w:t>
      </w:r>
    </w:p>
    <w:p>
      <w:pPr>
        <w:keepNext w:val="false"/>
        <w:keepLines/>
        <w:bidi/>
        <w:spacing w:after="0" w:before="0" w:line="300" w:lineRule="auto"/>
        <w:jc w:val="center"/>
      </w:pPr>
      <w:r>
        <w:rPr>
          <w:rFonts w:ascii="Rubik Medium MG" w:cs="Rubik Medium MG" w:eastAsia="Rubik Medium MG" w:hAnsi="Rubik Medium MG"/>
          <w:b w:val="false"/>
          <w:color w:val="A3541C"/>
          <w:sz w:val="25"/>
          <w:szCs w:val="25"/>
          <w:rtl/>
        </w:rPr>
        <w:t xml:space="preserve">מסכת מגילה</w:t>
      </w:r>
    </w:p>
    <w:p>
      <w:pPr>
        <w:keepNext w:val="false"/>
        <w:keepLines/>
        <w:bidi/>
        <w:spacing w:after="20" w:before="0" w:line="240" w:lineRule="auto"/>
        <w:jc w:val="center"/>
      </w:pPr>
      <w:r>
        <w:rPr>
          <w:rFonts w:ascii="Suez One" w:cs="Suez One" w:eastAsia="Suez One" w:hAnsi="Suez One"/>
          <w:b w:val="false"/>
          <w:color w:val="5B2245"/>
          <w:sz w:val="75"/>
          <w:szCs w:val="75"/>
          <w:rtl/>
        </w:rPr>
        <w:t xml:space="preserve">פרק שלישי – בני העיר</w:t>
      </w:r>
    </w:p>
    <w:p>
      <w:pPr>
        <w:keepNext w:val="false"/>
        <w:keepLines/>
        <w:bidi/>
        <w:spacing w:after="60" w:before="0" w:line="300" w:lineRule="auto"/>
        <w:jc w:val="center"/>
      </w:pPr>
      <w:r>
        <w:rPr>
          <w:rFonts w:ascii="Rubik Medium MG" w:cs="Rubik Medium MG" w:eastAsia="Rubik Medium MG" w:hAnsi="Rubik Medium MG"/>
          <w:b w:val="false"/>
          <w:color w:val="1D6A66"/>
          <w:sz w:val="26"/>
          <w:szCs w:val="26"/>
          <w:rtl/>
        </w:rPr>
        <w:t xml:space="preserve">משניות א–ו</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6EDF2"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5B2245"/>
                <w:sz w:val="24"/>
                <w:szCs w:val="24"/>
                <w:rtl/>
              </w:rPr>
              <w:t xml:space="preserve">קדושת בית הכנסת – מכירה וקנייה</w:t>
            </w:r>
            <w:r>
              <w:rPr>
                <w:rFonts w:ascii="Rubik Bold MG" w:cs="Rubik Bold MG" w:eastAsia="Rubik Bold MG" w:hAnsi="Rubik Bold MG"/>
                <w:b w:val="false"/>
                <w:color w:val="A3541C"/>
                <w:sz w:val="23"/>
                <w:szCs w:val="23"/>
                <w:rtl/>
              </w:rPr>
              <w:t xml:space="preserve">   ·   עמוד 48</w:t>
            </w:r>
          </w:p>
          <w:p>
            <w:pPr>
              <w:bidi/>
              <w:spacing w:after="50" w:before="0"/>
              <w:jc w:val="both"/>
            </w:pPr>
            <w:r>
              <w:rPr>
                <w:rFonts w:ascii="Rubik Medium MG" w:cs="Rubik Medium MG" w:eastAsia="Rubik Medium MG" w:hAnsi="Rubik Medium MG"/>
                <w:b w:val="false"/>
                <w:color w:val="5B2245"/>
                <w:sz w:val="24"/>
                <w:szCs w:val="24"/>
                <w:rtl/>
              </w:rPr>
              <w:t xml:space="preserve">כבוד בית הכנסת</w:t>
            </w:r>
            <w:r>
              <w:rPr>
                <w:rFonts w:ascii="Rubik Bold MG" w:cs="Rubik Bold MG" w:eastAsia="Rubik Bold MG" w:hAnsi="Rubik Bold MG"/>
                <w:b w:val="false"/>
                <w:color w:val="A3541C"/>
                <w:sz w:val="23"/>
                <w:szCs w:val="23"/>
                <w:rtl/>
              </w:rPr>
              <w:t xml:space="preserve">   ·   עמוד 52</w:t>
            </w:r>
          </w:p>
          <w:p>
            <w:pPr>
              <w:bidi/>
              <w:spacing w:after="50" w:before="0"/>
              <w:jc w:val="both"/>
            </w:pPr>
            <w:r>
              <w:rPr>
                <w:rFonts w:ascii="Rubik Medium MG" w:cs="Rubik Medium MG" w:eastAsia="Rubik Medium MG" w:hAnsi="Rubik Medium MG"/>
                <w:b w:val="false"/>
                <w:color w:val="5B2245"/>
                <w:sz w:val="24"/>
                <w:szCs w:val="24"/>
                <w:rtl/>
              </w:rPr>
              <w:t xml:space="preserve">ארבע פרשיות</w:t>
            </w:r>
            <w:r>
              <w:rPr>
                <w:rFonts w:ascii="Rubik Bold MG" w:cs="Rubik Bold MG" w:eastAsia="Rubik Bold MG" w:hAnsi="Rubik Bold MG"/>
                <w:b w:val="false"/>
                <w:color w:val="A3541C"/>
                <w:sz w:val="23"/>
                <w:szCs w:val="23"/>
                <w:rtl/>
              </w:rPr>
              <w:t xml:space="preserve">   ·   עמוד 55</w:t>
            </w:r>
          </w:p>
          <w:p>
            <w:pPr>
              <w:bidi/>
              <w:spacing w:after="50" w:before="0"/>
              <w:jc w:val="both"/>
            </w:pPr>
            <w:r>
              <w:rPr>
                <w:rFonts w:ascii="Rubik Medium MG" w:cs="Rubik Medium MG" w:eastAsia="Rubik Medium MG" w:hAnsi="Rubik Medium MG"/>
                <w:b w:val="false"/>
                <w:color w:val="5B2245"/>
                <w:sz w:val="24"/>
                <w:szCs w:val="24"/>
                <w:rtl/>
              </w:rPr>
              <w:t xml:space="preserve">קריאת התורה במועדים</w:t>
            </w:r>
            <w:r>
              <w:rPr>
                <w:rFonts w:ascii="Rubik Bold MG" w:cs="Rubik Bold MG" w:eastAsia="Rubik Bold MG" w:hAnsi="Rubik Bold MG"/>
                <w:b w:val="false"/>
                <w:color w:val="A3541C"/>
                <w:sz w:val="23"/>
                <w:szCs w:val="23"/>
                <w:rtl/>
              </w:rPr>
              <w:t xml:space="preserve">   ·   עמוד 59</w:t>
            </w:r>
          </w:p>
          <w:p>
            <w:pPr>
              <w:bidi/>
              <w:spacing w:after="50" w:before="0"/>
              <w:jc w:val="both"/>
            </w:pPr>
            <w:r>
              <w:rPr>
                <w:rFonts w:ascii="Rubik Medium MG" w:cs="Rubik Medium MG" w:eastAsia="Rubik Medium MG" w:hAnsi="Rubik Medium MG"/>
                <w:b w:val="false"/>
                <w:color w:val="5B2245"/>
                <w:sz w:val="24"/>
                <w:szCs w:val="24"/>
                <w:rtl/>
              </w:rPr>
              <w:t xml:space="preserve">חזרה – פרק שלישי</w:t>
            </w:r>
            <w:r>
              <w:rPr>
                <w:rFonts w:ascii="Rubik Bold MG" w:cs="Rubik Bold MG" w:eastAsia="Rubik Bold MG" w:hAnsi="Rubik Bold MG"/>
                <w:b w:val="false"/>
                <w:color w:val="A3541C"/>
                <w:sz w:val="23"/>
                <w:szCs w:val="23"/>
                <w:rtl/>
              </w:rPr>
              <w:t xml:space="preserve">   ·   עמוד 63</w:t>
            </w:r>
          </w:p>
        </w:tc>
      </w:tr>
    </w:tbl>
    <w:p>
      <w:pPr>
        <w:sectPr>
          <w:headerReference w:type="default" r:id="rId20"/>
          <w:footerReference w:type="default" r:id="rId21"/>
          <w:pgSz w:w="11906" w:h="16838" w:orient="portrait"/>
          <w:pgMar w:top="1380" w:right="1000" w:bottom="1150" w:left="1000" w:header="330" w:footer="420" w:gutter="0"/>
          <w:pgNumType/>
          <w:docGrid w:linePitch="360"/>
        </w:sectPr>
      </w:pPr>
    </w:p>
    <w:p>
      <w:pPr>
        <w:spacing w:after="0" w:before="0" w:line="240"/>
      </w:pPr>
      <w:r>
        <w:rPr>
          <w:rFonts w:ascii="Arial" w:cs="Arial" w:eastAsia="Arial" w:hAnsi="Arial"/>
          <w:color w:val="FDF8F2"/>
          <w:sz w:val="2"/>
          <w:szCs w:val="2"/>
        </w:rPr>
        <w:t xml:space="preserve">QQS12QQ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24"/>
                <w:szCs w:val="24"/>
                <w:rtl/>
              </w:rPr>
              <w:t xml:space="preserve">פרק שלישי – בני העיר · פרק ג · משניות א–ב</w:t>
            </w:r>
          </w:p>
          <w:p>
            <w:pPr>
              <w:keepNext/>
              <w:keepLines/>
              <w:bidi/>
              <w:spacing w:after="60" w:before="0" w:line="240" w:lineRule="auto"/>
              <w:jc w:val="both"/>
            </w:pPr>
            <w:r>
              <w:rPr>
                <w:rFonts w:ascii="Suez One" w:cs="Suez One" w:eastAsia="Suez One" w:hAnsi="Suez One"/>
                <w:b w:val="false"/>
                <w:color w:val="5B2245"/>
                <w:sz w:val="51"/>
                <w:szCs w:val="51"/>
                <w:rtl/>
              </w:rPr>
              <w:t xml:space="preserve">קדושת בית הכנסת – מכירה וקנייה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להכיר את «סולם הקדושה» של חפצי הציבור // להבין את הכלל «מעלין בקודש ואין מורידין» // לזהות שלוש דעות במכירת בית כנסת ולהשוות ביניהן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בְּנֵי הָעִיר שֶׁמָכְרוּ רְחוֹבָה שֶׁל עִיר, לוֹקְחִין בְּדָמָיו בֵּית הַכְּנֶסֶת. בֵּית הַכְּנֶסֶת, לוֹקְחִין תֵּבָה. תֵּבָה, לוֹקְחִין מִטְפָּחוֹת. מִטְפָּחוֹת, לוֹקְחִין סְפָרִים. סְפָרִים, לוֹקְחִין תּוֹרָה. אֲבָל אִם מָכְרוּ תּוֹרָה, לֹא יִקְחוּ סְפָרִים. סְפָרִים, לֹא יִקְחוּ מִטְפָּחוֹת. מִטְפָּחוֹת, לֹא יִקְחוּ תֵּבָה. תֵּבָה, לֹא יִקְחוּ בֵּית הַכְּנֶסֶת. בֵּית הַכְּנֶסֶת, לֹא יִקְחוּ אֶת הָרְחוֹב. וְכֵן בְּמוֹתְרֵיהֶן. אֵין מוֹכְרִין אֶת שֶׁל רַבִּים לַיָּחִיד, מִפְּנֵי שֶׁמוֹרִידִין אוֹתוֹ מִקְּדֻשָׁתוֹ, דִבְרֵי רַבִּי יְהוּדָה. אָמְרוּ לוֹ, אִם כֵּן, אַף לֹא מֵעִיר גְּדוֹלָה לְעִיר קְטַנָּה.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ג', משנה א')</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מוֹכְרִין בֵּית הַכְּנֶסֶת, אֶלָּא עַל תְּנַאי שֶׁאִם יִרְצוּ יַחֲזִירוּהוּ, דִבְרֵי רַבִּי מֵאִיר. וַחֲכָמִים אוֹמְרִים: מוֹכְרִים אוֹתוֹ מִמְכַּר עוֹלָם, חוּץ מֵאַרְבָּעָה דְּבָרִים: לְמֶרְחָץ, וְלַבֻּרְסְקִי, וְלִטְבִילָה, וּלְבֵית הַמָּיִם. רַבִּי יְהוּדָה אוֹמֵר: מוֹכְרִין אוֹתוֹ לְשֵׁם חָצֵר, וְהַלּוֹקֵחַ מַה שֶׁיִרְצֶה יַעֲשֶׂה.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ג', משנה ב')</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רְחוֹבָה שֶׁל עִיר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הרחבה הגדולה שבמרכז העיר, שבה התאספו להתפלל בימי תענית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בְּדָמָיו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בכסף שקיבלו במכירתו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תֵּבָה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ארון הקודש שבו מניחים את ספר התורה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מִטְפָּחוֹת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יריעות בד שעוטפים בהן את הספרים (כמו מעיל לספר תורה)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סְפָרִים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ספרי נביאים וכתובים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מוֹתְרֵיהֶן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הכסף שנשאר אחרי הקנייה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מִמְכַּר עוֹלָם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מכירה לתמיד, בלי אפשרות לבטל</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משנה א (רישא)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סולם הקדושה: השלימו את השלבים מן הנמוך אל הגבוה.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1651"/>
              <w:gridCol w:w="1651"/>
              <w:gridCol w:w="1651"/>
              <w:gridCol w:w="1651"/>
              <w:gridCol w:w="1651"/>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שלב 1 (נמוך)</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שלב 2</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שלב 3</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שלב 4</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שלב 5</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שלב 6 (גבוה)</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בני העיר מכרו את התבה. מה מותר להם לקנות בכסף? </w:t>
      </w:r>
      <w:r>
        <w:rPr>
          <w:rFonts w:ascii="Rubik MG" w:cs="Rubik MG" w:eastAsia="Rubik MG" w:hAnsi="Rubik MG"/>
          <w:b w:val="false"/>
          <w:color w:val="A69AA2"/>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בני העיר מכרו ספר נביאים. האם מותר להם לקנות בכסף בית כנסת?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כי בית כנסת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מספרים.</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מה פירוש «וְכֵן בְּמוֹתְרֵיהֶן»? תנו דוגמה משלכם.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לפי משנה ב, מי אומר שמוכרים בית כנסת רק על תנאי?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מה פירוש התנאי? </w:t>
      </w:r>
      <w:r>
        <w:rPr>
          <w:rFonts w:ascii="Rubik MG" w:cs="Rubik MG" w:eastAsia="Rubik MG" w:hAnsi="Rubik MG"/>
          <w:b w:val="false"/>
          <w:color w:val="A69AA2"/>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חכמים אומרים שמוכרים בית כנסת ממכר עולם. לאילו ארבעה שימושים אסור למכור אותו?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המשותף לארבעת השימושים האלה? מדוע אסרו דווקא אותם?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 – מכירת בית כנסת (משנה ב)</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3962"/>
                    <w:gridCol w:w="3963"/>
                  </w:tblGrid>
                  <w:tr>
                    <w:trPr>
                      <w:cantSplit/>
                      <w:tblHeader/>
                    </w:trPr>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אומר?</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דעתו?</w:t>
                        </w:r>
                      </w:p>
                    </w:tc>
                    <w:tc>
                      <w:tcPr>
                        <w:tcW w:type="dxa" w:w="396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נימוק/סברה</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רבי מאיר</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חכמים</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רבי יהודה</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אבל אם מכרו תורה לא יקחו ספרים – </w:t>
                        </w:r>
                        <w:r>
                          <w:rPr>
                            <w:rFonts w:ascii="Frank Ruhl TB" w:cs="Frank Ruhl TB" w:eastAsia="Frank Ruhl TB" w:hAnsi="Frank Ruhl TB"/>
                            <w:b w:val="false"/>
                            <w:color w:val="2A1F28"/>
                            <w:sz w:val="25"/>
                            <w:szCs w:val="25"/>
                            <w:rtl/>
                          </w:rPr>
                          <w:t xml:space="preserve">דמעלין בקודש ואין מורידין: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מה מבאר הברטנורא?</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בית הכנסת לוקחים תיבה – </w:t>
                  </w:r>
                  <w:r>
                    <w:rPr>
                      <w:rFonts w:ascii="Frank Ruhl TB" w:cs="Frank Ruhl TB" w:eastAsia="Frank Ruhl TB" w:hAnsi="Frank Ruhl TB"/>
                      <w:b w:val="false"/>
                      <w:color w:val="2A1F28"/>
                      <w:sz w:val="25"/>
                      <w:szCs w:val="25"/>
                      <w:rtl/>
                    </w:rPr>
                    <w:t xml:space="preserve">ודוקא בית הכנסת דכפרים הוא דמצו מזבני לה. אבל בית הכנסת דכרכים, כיון דמעלמא קא אתו לה הויא דרבים ולא מצו מזבני 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איזה קושי פותר הברטנורא? איזה בית כנסת מותר למכור, ואיזה אסור? ומדוע?</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אלא על תנאי – </w:t>
                  </w:r>
                  <w:r>
                    <w:rPr>
                      <w:rFonts w:ascii="Frank Ruhl TB" w:cs="Frank Ruhl TB" w:eastAsia="Frank Ruhl TB" w:hAnsi="Frank Ruhl TB"/>
                      <w:b w:val="false"/>
                      <w:color w:val="2A1F28"/>
                      <w:sz w:val="25"/>
                      <w:szCs w:val="25"/>
                      <w:rtl/>
                    </w:rPr>
                    <w:t xml:space="preserve">ואפילו משל רבים לרבים אסור למכור מכירה חלוטה, דדרך בזיון הוא, כלומר אינו בעינינו כלום. ואין הלכה כר"מ:</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לפי הברטנורא, מדוע רבי מאיר אוסר מכירה גמורה, ואיך נפסקה ההלכה? </w:t>
      </w:r>
      <w:r>
        <w:rPr>
          <w:rFonts w:ascii="Rubik MG" w:cs="Rubik MG" w:eastAsia="Rubik MG" w:hAnsi="Rubik MG"/>
          <w:b w:val="false"/>
          <w:color w:val="A69AA2"/>
          <w:sz w:val="24"/>
          <w:szCs w:val="24"/>
          <w:rtl/>
        </w:rPr>
        <w:t xml:space="preserve">‏________ ________ ________ ________ ________ ________‏</w:t>
      </w:r>
      <w:r>
        <w:rPr>
          <w:rFonts w:ascii="Rubik MG" w:cs="Rubik MG" w:eastAsia="Rubik MG" w:hAnsi="Rubik MG"/>
          <w:b w:val="false"/>
          <w:color w:val="2A1F28"/>
          <w:sz w:val="24"/>
          <w:szCs w:val="24"/>
          <w:rtl/>
        </w:rPr>
        <w:t xml:space="preserve">; ההלכה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ועד בית הכנסת בשכונה קיבל תרומה גדולה. יש הצעה לקנות בה מזגן חדש, ויש הצעה לקנות פרוכת וספר תורה. הסבירו: איזה עיקרון מן המשנה אפשר ללמוד ממנה על סדר עדיפויות בבית הכנסת? (שימו לב: המשנה עוסקת בכסף של מכירת חפץ קדוש, לא בתרומה רגילה.)</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3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ברטנורא מוסיף שכל הדינים האלה נאמרו רק כשלא מכרו «שבעה טובי העיר במעמד אנשי העיר». אם נציגי הציבור מכרו בהסכמת אנשי העיר – מותר להשתמש בכסף לכל צורך.</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4191000" cy="2790825"/>
                    </a:xfrm>
                    <a:prstGeom prst="rect">
                      <a:avLst/>
                    </a:prstGeom>
                  </pic:spPr>
                </pic:pic>
              </a:graphicData>
            </a:graphic>
          </wp:inline>
        </w:drawing>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QQS13QQ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שלישי – בני העיר · פרק ג · משנה ג</w:t>
            </w:r>
          </w:p>
          <w:p>
            <w:pPr>
              <w:keepNext/>
              <w:keepLines/>
              <w:bidi/>
              <w:spacing w:after="48" w:before="0" w:line="223" w:lineRule="auto"/>
              <w:jc w:val="both"/>
            </w:pPr>
            <w:r>
              <w:rPr>
                <w:rFonts w:ascii="Suez One" w:cs="Suez One" w:eastAsia="Suez One" w:hAnsi="Suez One"/>
                <w:b w:val="false"/>
                <w:color w:val="5B2245"/>
                <w:sz w:val="44"/>
                <w:szCs w:val="44"/>
                <w:rtl/>
              </w:rPr>
              <w:t xml:space="preserve">כבוד בית הכנסת</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279" w:lineRule="auto"/>
                          <w:jc w:val="both"/>
                        </w:pPr>
                        <w:r>
                          <w:rPr>
                            <w:rFonts w:ascii="Rubik MG" w:cs="Rubik MG" w:eastAsia="Rubik MG" w:hAnsi="Rubik MG"/>
                            <w:b w:val="false"/>
                            <w:color w:val="2A1F28"/>
                            <w:sz w:val="23"/>
                            <w:szCs w:val="23"/>
                            <w:rtl/>
                          </w:rPr>
                          <w:t xml:space="preserve">לפרט את הדברים שאסור לעשות בבית כנסת שחרב // להבין את הלימוד מן הפסוק «והשמותי את מקדשיכם» // להסביר את המושג «עגמת נפש» ואת הקשר שלו לגעגוע ולתפילה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וְעוֹד אָמַר רַבִּי יְהוּדָה בֵּית הַכְּנֶסֶת שֶׁחָרַב, אֵין מַסְפִּידִין בְּתוֹכוֹ, וְאֵין מַפְשִׁילִין בְּתוֹכוֹ חֲבָלִים, וְאֵין פּוֹרְשִׂין לְתוֹכוֹ מְצוּדוֹת, וְאֵין שׁוֹטְחִין עַל גַּגּוֹ פֵּרוֹת, וְאֵין עוֹשִׂין אוֹתוֹ קַפַּנְדַּרְיָא, שֶׁנֶאֲמַר (ויקרא כו לא): "וַהַשִׁמּוֹתִי אֶת מִקְדְּשֵׁיכֶם", קְדֻשָּׁתָן אַף כְּשֶׁהֵן שׁוֹמְמִין. עָלוּ בּוֹ עֲשָׂבִים, לֹא יִתְלוֹשׁ, מִפְּנֵי עָגְמַת נֶפֶשׁ.</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ג', משנה ג')</w:t>
            </w:r>
          </w:p>
        </w:tc>
      </w:tr>
    </w:tbl>
    <w:p>
      <w:pPr>
        <w:spacing w:after="0" w:before="0" w:line="12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שֶׁחָרַב</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שנהרס ואין מתפללים בו עוד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מַסְפִּידִין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אומרים דברי הספד על מת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מַפְשִׁילִין חֲבָלִים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שוזרים ומותחים חבלים (מלאכה שצריכה מקום רחב)</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מְצוּדוֹת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רשתות לצוד חיות או עופות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שׁוֹטְחִין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פורשים ומניחים לייבוש</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קַפַּנְדַּרְיָא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קיצור דרך – נכנסים מצד אחד ויוצאים מן הצד השני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עָגְמַת נֶפֶשׁ</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צער וכאב בלב</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722"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מיינו: כתבו ליד כל פעולה מן המשנה – איפה עושים אותה?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44"/>
              <w:gridCol w:w="3962"/>
            </w:tblGrid>
            <w:tr>
              <w:trPr>
                <w:cantSplit/>
                <w:tblHeader/>
              </w:trPr>
              <w:tc>
                <w:tcPr>
                  <w:tcW w:type="dxa" w:w="594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הפעולה האסורה</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איפה בבית הכנסת?</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אין מַפְשִׁילִין חֲבָלִים</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אין פּוֹרְשִׂין מְצוּדוֹת</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אין שׁוֹטְחִין פֵּרוֹת</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אין עוֹשִׂין אוֹתוֹ קַפַּנְדַּרְיָא</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כמה דברים אסורים מונה המשנה בבית כנסת שחרב (לפני דין העשבים)? </w:t>
      </w:r>
      <w:r>
        <w:rPr>
          <w:rFonts w:ascii="Rubik MG" w:cs="Rubik MG" w:eastAsia="Rubik MG" w:hAnsi="Rubik MG"/>
          <w:b w:val="false"/>
          <w:color w:val="A69AA2"/>
          <w:sz w:val="24"/>
          <w:szCs w:val="24"/>
          <w:rtl/>
        </w:rPr>
        <w:t xml:space="preserve">‏________ ________‏</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הקושי בפסוק «וַהֲשִׁמּוֹתִי אֶת מִקְדְּשֵׁיכֶם»? כיצד לומד ממנו רבי יהודה שבית כנסת שחרב עדיין קדוש?</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מה ההבדל בין דין העשבים לבין שאר הדינים במשנה? (שימו לב לטעם.)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קפנדריא: הסבירו במילים שלכם מה אסור, ומה הבעיה בכך.</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קפנדריא – </w:t>
                        </w:r>
                        <w:r>
                          <w:rPr>
                            <w:rFonts w:ascii="Frank Ruhl TB" w:cs="Frank Ruhl TB" w:eastAsia="Frank Ruhl TB" w:hAnsi="Frank Ruhl TB"/>
                            <w:b w:val="false"/>
                            <w:color w:val="2A1F28"/>
                            <w:sz w:val="25"/>
                            <w:szCs w:val="25"/>
                            <w:rtl/>
                          </w:rPr>
                          <w:t xml:space="preserve">לקצר הלוכו דרך בית הכנסת.</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מפני עגמת נפש – </w:t>
                        </w:r>
                        <w:r>
                          <w:rPr>
                            <w:rFonts w:ascii="Frank Ruhl TB" w:cs="Frank Ruhl TB" w:eastAsia="Frank Ruhl TB" w:hAnsi="Frank Ruhl TB"/>
                            <w:b w:val="false"/>
                            <w:color w:val="2A1F28"/>
                            <w:sz w:val="25"/>
                            <w:szCs w:val="25"/>
                            <w:rtl/>
                          </w:rPr>
                          <w:t xml:space="preserve">שיזכרו ימי בנינו ויתנו לב לבנותו אם יוכלו, או יבקשו עליו רחמים שיחזור.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מבאר הברטנורא במילים «מפני עגמת נפש»? מה אמורים האנשים להרגיש ולעשות?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ואין מפשילין – </w:t>
                  </w:r>
                  <w:r>
                    <w:rPr>
                      <w:rFonts w:ascii="Frank Ruhl TB" w:cs="Frank Ruhl TB" w:eastAsia="Frank Ruhl TB" w:hAnsi="Frank Ruhl TB"/>
                      <w:b w:val="false"/>
                      <w:color w:val="2A1F28"/>
                      <w:sz w:val="25"/>
                      <w:szCs w:val="25"/>
                      <w:rtl/>
                    </w:rPr>
                    <w:t xml:space="preserve">וה"ה לכל שאר מלאכות, אלא שהפשלת חבלים צריך מקום רחב ידים, ובהכ"נ בית גדול הוא וראוי לכך והוי אורחיה: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איזה קושי פותר הברטנורא? מדוע המשנה מזכירה דווקא «הפשלת חבלים», אם כל המלאכות אסורות?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238"/>
                    <w:gridCol w:w="3715"/>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משפט</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אמת/טעות</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מותר לשטוח פירות על גג בית כנסת שחרב.</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את הדינים במשנה אומר רבי מאיר.</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בית כנסת שחרב – קדושתו נשארת.</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מותר לתלוש עשבים שעלו בבית כנסת שחרב, כדי שייראה יפה.</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אנחנו מזכירים את חורבן בית המקדש בכמה מנהגים (למשל, משאירים בבית חלק קטן לא מסויד – «זכר לחורבן»). מה הקשר בין המנהג הזה לבין «עגמת נפש» שבמשנה? ואיך אפשר לשמור על כבוד בית הכנסת שלנו – הבנוי – בחיי היום־יום?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387"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המשנה לומדת מן הפסוק שגם מקום שחרב ושומם – קדושתו לא בטלה. כך נוהגים כבוד גם במקומות קדושים שאינם בשימוש כיום.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QQS14QQ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שלישי – בני העיר · פרק ג · משנה ד</w:t>
            </w:r>
          </w:p>
          <w:p>
            <w:pPr>
              <w:keepNext/>
              <w:keepLines/>
              <w:bidi/>
              <w:spacing w:after="48" w:before="0" w:line="223" w:lineRule="auto"/>
              <w:jc w:val="both"/>
            </w:pPr>
            <w:r>
              <w:rPr>
                <w:rFonts w:ascii="Suez One" w:cs="Suez One" w:eastAsia="Suez One" w:hAnsi="Suez One"/>
                <w:b w:val="false"/>
                <w:color w:val="5B2245"/>
                <w:sz w:val="44"/>
                <w:szCs w:val="44"/>
                <w:rtl/>
              </w:rPr>
              <w:t xml:space="preserve">ארבע פרשיות</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279" w:lineRule="auto"/>
                          <w:jc w:val="both"/>
                        </w:pPr>
                        <w:r>
                          <w:rPr>
                            <w:rFonts w:ascii="Rubik MG" w:cs="Rubik MG" w:eastAsia="Rubik MG" w:hAnsi="Rubik MG"/>
                            <w:b w:val="false"/>
                            <w:color w:val="2A1F28"/>
                            <w:sz w:val="23"/>
                            <w:szCs w:val="23"/>
                            <w:rtl/>
                          </w:rPr>
                          <w:t xml:space="preserve">להכיר את ארבע הפרשיות ואת סדרן // להבין מה קורה כשראש חודש אדר חל באמצע השבוע // להסביר את הטעם של כל פרשה לפי הברטנורא // להבין את הכלל «לכל מפסיקין»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רֹאשׁ חֹדֶשׁ אֲדָר שֶׁחָל לִהְיוֹת בְּשַׁבָּת, קוֹרִין בְּפָרָשַׁת שְׁקָלִים. חָל לִהְיוֹת בְּתוֹך הַשַׁבָּת, מַקְדִימִין לְשֶׁעָבַר וּמַפְסִיקִין לְשַׁבָּת אַחֶרֶת. בַּשְּׁנִיָּה, זָכוֹר. בַּשְּׁלִישִׁית, פָּרָה אַדֻמָּה. בָּרְבִיעִית, הַחֹדֶשׁ הַזֶּה לָכֶם. בַּחֲמִישִׁית, חוֹזְרִין לִכְסִדְרָן. לַכֹּל מַפְסִיקִין, בְּרָאשֵׁי חֳדָשִׁים, בַּחֲנֻכָּה וּבְפוּרִים, בְּתַעֲנִיּוֹת וּבְמַעֲמָדוֹת וּבְיוֹם הַכִּפּוּרִים.</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ג', משנה ד')</w:t>
            </w:r>
          </w:p>
        </w:tc>
      </w:tr>
    </w:tbl>
    <w:p>
      <w:pPr>
        <w:spacing w:after="0" w:before="0" w:line="12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פָרָשַׁת שְׁקָלִים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הפרשה על מחצית השקל («כי תשא»)</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בְּתוֹך הַשַׁבָּת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באחד מימי השבוע (לא בשבת עצמה)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מַקְדִימִין לְשֶׁעָבַר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קוראים מוקדם – בשבת שלפני ראש החודש</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מַפְסִיקִין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מדלגים – בשבת הזאת לא קוראים פרשה מיוחדת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לִכְסִדְרָן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חוזרים לסדר הרגיל</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מַעֲמָדוֹת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קבוצות מישראל שהתפללו וקראו בתורה בזמן שאנשי משמרתם עבדו בבית המקדש</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השלימו את טבלת ארבע הפרשיות:</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3302"/>
              <w:gridCol w:w="4953"/>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שבת</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שם הפרשה במשנה</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על מה היא מלמדת?</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ראשונה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שנייה</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שלישית</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רביעית</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מה עושים בשבת החמישית? </w:t>
      </w:r>
      <w:r>
        <w:rPr>
          <w:rFonts w:ascii="Rubik MG" w:cs="Rubik MG" w:eastAsia="Rubik MG" w:hAnsi="Rubik MG"/>
          <w:b w:val="false"/>
          <w:color w:val="A69AA2"/>
          <w:sz w:val="24"/>
          <w:szCs w:val="24"/>
          <w:rtl/>
        </w:rPr>
        <w:t xml:space="preserve">‏________ ________‏</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ראש חודש אדר חל ביום רביעי. באיזו שבת קוראים פרשת שקלים?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ומה קורה בשבת שאחרי ראש החודש? </w:t>
      </w:r>
      <w:r>
        <w:rPr>
          <w:rFonts w:ascii="Rubik MG" w:cs="Rubik MG" w:eastAsia="Rubik MG" w:hAnsi="Rubik MG"/>
          <w:b w:val="false"/>
          <w:color w:val="A69AA2"/>
          <w:sz w:val="24"/>
          <w:szCs w:val="24"/>
          <w:rtl/>
        </w:rPr>
        <w:t xml:space="preserve">‏________ ________ ________ ________ ________‏</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מנו את הימים שבהם «לכל מפסיקין» לפי המשנה.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מהי «שבת שלישית» (פרה) לפי הברטנורא?</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קורין פרשת שקלים – </w:t>
                        </w:r>
                        <w:r>
                          <w:rPr>
                            <w:rFonts w:ascii="Frank Ruhl TB" w:cs="Frank Ruhl TB" w:eastAsia="Frank Ruhl TB" w:hAnsi="Frank Ruhl TB"/>
                            <w:b w:val="false"/>
                            <w:color w:val="2A1F28"/>
                            <w:sz w:val="25"/>
                            <w:szCs w:val="25"/>
                            <w:rtl/>
                          </w:rPr>
                          <w:t xml:space="preserve">כי תשא, להודיע שיביאו שקליהם באדר, כדי שיקריבו בא' בניסן מתרומה חדשה:</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ומפסיקין בשבת הבאה – </w:t>
                        </w:r>
                        <w:r>
                          <w:rPr>
                            <w:rFonts w:ascii="Frank Ruhl TB" w:cs="Frank Ruhl TB" w:eastAsia="Frank Ruhl TB" w:hAnsi="Frank Ruhl TB"/>
                            <w:b w:val="false"/>
                            <w:color w:val="2A1F28"/>
                            <w:sz w:val="25"/>
                            <w:szCs w:val="25"/>
                            <w:rtl/>
                          </w:rPr>
                          <w:t xml:space="preserve">מלומר פרשה שניה. כדי שתקרא פ' זכור בשבת הסמוכה לפורים, לסמוך מחיית עמלק למחיית המן: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איזה קושי פותר הברטנורא בדיבור «ומפסיקין»? מדוע לא קוראים פשוט את זכור בשבת שמיד אחרי שקלים?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בשלישית פרה אדומה – </w:t>
                  </w:r>
                  <w:r>
                    <w:rPr>
                      <w:rFonts w:ascii="Frank Ruhl TB" w:cs="Frank Ruhl TB" w:eastAsia="Frank Ruhl TB" w:hAnsi="Frank Ruhl TB"/>
                      <w:b w:val="false"/>
                      <w:color w:val="2A1F28"/>
                      <w:sz w:val="25"/>
                      <w:szCs w:val="25"/>
                      <w:rtl/>
                    </w:rPr>
                    <w:t xml:space="preserve">להזהיר את ישראל לטהר עצמם כדי שיעשו פסחיהם בטהרה.</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לכל מפסיקין – </w:t>
                  </w:r>
                  <w:r>
                    <w:rPr>
                      <w:rFonts w:ascii="Frank Ruhl TB" w:cs="Frank Ruhl TB" w:eastAsia="Frank Ruhl TB" w:hAnsi="Frank Ruhl TB"/>
                      <w:b w:val="false"/>
                      <w:color w:val="2A1F28"/>
                      <w:sz w:val="25"/>
                      <w:szCs w:val="25"/>
                      <w:rtl/>
                    </w:rPr>
                    <w:t xml:space="preserve">שאין מפטירין מעין הפרשה אלא מעין המאורע:</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מבאר הברטנורא על «לכל מפסיקין»? הסבירו בעזרת דוגמה של חנוכה.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פרשה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הטעם לפי הברטנורא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שקלים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לסמוך מחיית עמלק למחיית המן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זכור</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לטהר את עצמם כדי לעשות את הפסח בטהרה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פרה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שם נמצאת פרשת הפסח</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החדש</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להודיע שיביאו שקליהם באדר</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שלוש מארבע הפרשיות קשורות לבית המקדש (שקלים לקרבנות, פרה לטהרה, החדש לקרבן פסח). היום אין בית מקדש – ובכל זאת אנחנו ממשיכים לקרוא אותן בכל שנה. מה אפשר ללמוד מכך?</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387"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פרשת שקלים נקראת סמוך לאדר כי בא' בניסן החלו להקריב קרבנות ציבור מן התרומה החדשה של השקלים. ההכנה מתחילה חודש מראש!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keepNext w:val="false"/>
        <w:bidi/>
        <w:spacing w:after="128" w:before="48"/>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4191000" cy="2790825"/>
                    </a:xfrm>
                    <a:prstGeom prst="rect">
                      <a:avLst/>
                    </a:prstGeom>
                  </pic:spPr>
                </pic:pic>
              </a:graphicData>
            </a:graphic>
          </wp:inline>
        </w:drawing>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QQS15QQ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שלישי – בני העיר · פרק ג · משניות ה–ו</w:t>
            </w:r>
          </w:p>
          <w:p>
            <w:pPr>
              <w:keepNext/>
              <w:keepLines/>
              <w:bidi/>
              <w:spacing w:after="60" w:before="0" w:line="240" w:lineRule="auto"/>
              <w:jc w:val="both"/>
            </w:pPr>
            <w:r>
              <w:rPr>
                <w:rFonts w:ascii="Suez One" w:cs="Suez One" w:eastAsia="Suez One" w:hAnsi="Suez One"/>
                <w:b w:val="false"/>
                <w:color w:val="5B2245"/>
                <w:sz w:val="51"/>
                <w:szCs w:val="51"/>
                <w:rtl/>
              </w:rPr>
              <w:t xml:space="preserve">קריאת התורה במועדים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להכיר מה קוראים בתורה בכל מועד ויום מיוחד // להבין את הכלל «מצוה לקרות בכל מועד מענין המועד» // להבין את דין הקריאה בשני, בחמישי ובשבת במנחה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בְּפֶסַח קוֹרִין בְּפָרָשַׁת מוֹעֲדוֹת שֶׁל תּוֹרַת כֹּהֲנִים. בַּעֲצֶרֶת, שִׁבְעָה שָׁבֻעוֹת. בְּרֹאשׁ הַשָּׁנָה, בְּחֹדֶשׁ הַשְּׁבִיעִי בְּאֶחָד לַחֹדֶשׁ. בְּיוֹם הַכִּפּוּרִים, אַחֲרֵי מוֹת. בְּיוֹם טוֹב הָרִאשׁוֹן שֶׁל חָג קוֹרִין בְּפָרָשַׁת מוֹעֲדוֹת שֶׁבְּתוֹרַת כֹּהֲנִים, וּבִשְׁאָר כֹּל יְמוֹת הַחַג בְּקָרְבְּנוֹת הַחַג.</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ג', משנה ה')</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בַּחֲנֻכָּה, בַּנְּשִׂיאִים. בְּפוּרִים, וַיָּבֹא עֲמָלֵק. בְּרָאשֵׁי חֳדָשִׁים, וּבְרָאשֵׁי חָדְשֵׁיכֶם. בְּמַעֲמָדוֹת, בְּמַעֲשֵׂה בְּרֵאשִׁית. בְּתַעֲנִיּוֹת, בְּרָכוֹת וּקְלָלוֹת. אֵין מַפְסִיקִין בִּקְלָלוֹת, אֶלָּא אֶחָד קוֹרֵא אֶת כֻּלָּן. בְּשֵׁנִי וּבַחֲמִישִׁי וּבְשַׁבָּת בְּמִנְחָה, קוֹרִין כְּסִדְרָן, וְאֵין עוֹלִין לָהֶם מִן הָחֶשְׁבּוֹן, שֶׁנֶאֳמָר (ויקרא כג מד): "וַיְדַבֵּר מֹשֶׁה אֶת מֹעֲדֵי ה' אֶל בְּנֵי יִשְׂרָאֵל", מִצְוָתָן שֶׁיְהוּ קוֹרִין כָּל אֶחָד וְאֶחָד בִּזְמַנּוֹ.</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ג', משנה ו')</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תּוֹרַת כֹּהֲנִים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ספר ויקרא</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פָרָשַׁת מוֹעֲדוֹת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הפרשה שמונה את כל חגי השנה (ויקרא כג)</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עֲצֶרֶת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חג השבועות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קָרְבְּנוֹת הַחַג</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הפרשה שמפרטת את הקרבנות של כל יום בחג הסוכות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הַנְּשִׂיאִים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הפרשה על קרבנות נשיאי השבטים בחנוכת המשכן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אֵין עוֹלִין לָהֶם מִן הַחֶשְׁבּוֹן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הקריאה אינה נחשבת להתקדמות בפרשת השבוע</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משנה ו (סיפא)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לוח הקריאות: השלימו מה קוראים בכל יום לפי המשנה.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5944"/>
      </w:tblGrid>
      <w:tr>
        <w:trPr>
          <w:cantSplit/>
          <w:tblHeader/>
        </w:trPr>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היום</w:t>
            </w:r>
          </w:p>
        </w:tc>
        <w:tc>
          <w:tcPr>
            <w:tcW w:type="dxa" w:w="594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קוראים?</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פסח</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עצרת (שבועות)</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ראש השנה</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הכיפורים</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טוב ראשון של חג (סוכות)</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שאר ימות החג</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חנוכה</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פורים</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ראשי חודשים</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מעמדות</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תעניות</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באילו שני מועדים קוראים את אותה פרשה – פרשת מועדות שבתורת כהנים?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ו</w:t>
      </w:r>
      <w:r>
        <w:rPr>
          <w:rFonts w:ascii="Rubik MG" w:cs="Rubik MG" w:eastAsia="Rubik MG" w:hAnsi="Rubik MG"/>
          <w:b w:val="false"/>
          <w:color w:val="A69AA2"/>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הקשר בין קריאת הנשיאים לחנוכה? </w:t>
      </w:r>
      <w:r>
        <w:rPr>
          <w:rFonts w:ascii="Rubik MG" w:cs="Rubik MG" w:eastAsia="Rubik MG" w:hAnsi="Rubik MG"/>
          <w:b w:val="false"/>
          <w:color w:val="A69AA2"/>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מה הקשר בין הקריאה «ויבא עמלק» לבין פורים?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מה פירוש «אֵין מַפְסִיקִין בִּקְלָלוֹת, אֶלָּא אֶחָד קוֹרֵא אֶת כֻּלָּן»?</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דני אמר: «בשבת בבוקר נמשיך מהמקום שבו סיימנו ביום חמישי». האם צדק? הסבירו לפי המשנה והברטנורא.</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שנאמר וידבר משה – </w:t>
                        </w:r>
                        <w:r>
                          <w:rPr>
                            <w:rFonts w:ascii="Frank Ruhl TB" w:cs="Frank Ruhl TB" w:eastAsia="Frank Ruhl TB" w:hAnsi="Frank Ruhl TB"/>
                            <w:b w:val="false"/>
                            <w:color w:val="2A1F28"/>
                            <w:sz w:val="25"/>
                            <w:szCs w:val="25"/>
                            <w:rtl/>
                          </w:rPr>
                          <w:t xml:space="preserve">אכולה מתניתין קאי, ללמוד מכאן שמצוה לקרות בכל מועד מענין המועד:</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מבאר הברטנורא? על איזה חלק של המשנה עומד הפסוק?</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ברכות וקללות – </w:t>
                  </w:r>
                  <w:r>
                    <w:rPr>
                      <w:rFonts w:ascii="Frank Ruhl TB" w:cs="Frank Ruhl TB" w:eastAsia="Frank Ruhl TB" w:hAnsi="Frank Ruhl TB"/>
                      <w:b w:val="false"/>
                      <w:color w:val="2A1F28"/>
                      <w:sz w:val="25"/>
                      <w:szCs w:val="25"/>
                      <w:rtl/>
                    </w:rPr>
                    <w:t xml:space="preserve">אם בחקותי. להודיע שעל עסקי החטא באה פורענות לעולם, ויחזרו בתשובה וינצלו מצרתם: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איזה קושי פותר הברטנורא? מדוע דווקא ביום תענית קוראים ברכות וקללות?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מה ההבדל?</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 </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שבת בבוקר</w:t>
                        </w:r>
                      </w:p>
                    </w:tc>
                    <w:tc>
                      <w:tcPr>
                        <w:tcW w:type="dxa" w:w="371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שני, חמישי ושבת במנחה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מה קוראים?</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האם הקריאה «נספרת» להמשך?</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בכל חג אנחנו קוראים בתורה דווקא את הפרשה שמספרת על החג. מדוע לדעתכם זה חשוב? בחרו חג אחד ותארו איך הקריאה מוסיפה לכם להבנת החג.</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3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הברטנורא מביא גם את המנהג שנהגו בזמנו בכל יום טוב (למשל: ביום הראשון של פסח קוראים «משכו וקחו לכם»). המשנה מתארת את הקריאה הבסיסית, והמנהג התפתח אחריה.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4191000" cy="2790825"/>
                    </a:xfrm>
                    <a:prstGeom prst="rect">
                      <a:avLst/>
                    </a:prstGeom>
                  </pic:spPr>
                </pic:pic>
              </a:graphicData>
            </a:graphic>
          </wp:inline>
        </w:drawing>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QQS16QQ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שלישי – בני העיר · חזרה · פרק ג</w:t>
            </w:r>
          </w:p>
          <w:p>
            <w:pPr>
              <w:keepNext/>
              <w:keepLines/>
              <w:bidi/>
              <w:spacing w:after="48" w:before="0" w:line="223" w:lineRule="auto"/>
              <w:jc w:val="both"/>
            </w:pPr>
            <w:r>
              <w:rPr>
                <w:rFonts w:ascii="Suez One" w:cs="Suez One" w:eastAsia="Suez One" w:hAnsi="Suez One"/>
                <w:b w:val="false"/>
                <w:color w:val="5B2245"/>
                <w:sz w:val="44"/>
                <w:szCs w:val="44"/>
                <w:rtl/>
              </w:rPr>
              <w:t xml:space="preserve">חזרה – פרק שלישי</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279" w:lineRule="auto"/>
                          <w:jc w:val="both"/>
                        </w:pPr>
                        <w:r>
                          <w:rPr>
                            <w:rFonts w:ascii="Rubik MG" w:cs="Rubik MG" w:eastAsia="Rubik MG" w:hAnsi="Rubik MG"/>
                            <w:b w:val="false"/>
                            <w:color w:val="2A1F28"/>
                            <w:sz w:val="23"/>
                            <w:szCs w:val="23"/>
                            <w:rtl/>
                          </w:rPr>
                          <w:t xml:space="preserve">לחזור על כל משניות פרק «בני העיר» // לקשר בין משנה לנושא שלה // לזכור מי אמר מה // לסכם את הפרק בטבלה אחת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 – משנה ונושא</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המשנה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הנושא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א</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ארבע הפרשיות בחודש אדר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ב</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מה קוראים בחנוכה, בפורים ובראשי חודשים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ג</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סולם הקדושה – מכירת רחוב, בית כנסת וספרים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ד</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מה קוראים בפסח, בשבועות ובחגי תשרי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מכירת בית כנסת – ממכר עולם או על תנאי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ו</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בית כנסת שחרב</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 אמר?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04"/>
                    <w:gridCol w:w="3302"/>
                  </w:tblGrid>
                  <w:tr>
                    <w:trPr>
                      <w:cantSplit/>
                      <w:tblHeader/>
                    </w:trPr>
                    <w:tc>
                      <w:tcPr>
                        <w:tcW w:type="dxa" w:w="660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הדברים</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 אמר?</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אין מוכרין את של רבים ליחיד, מפני שמורידין אותו מקדושתו</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אם כן, אף לא מעיר גדולה לעיר קטנה</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אין מוכרין בית הכנסת אלא על תנאי</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מוכרים אותו ממכר עולם, חוץ מארבעה דברים</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מוכרין אותו לשם חצר, והלוקח מה שירצה יעשה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בית הכנסת שחרב אין מספידין בתוכו</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איזה חכם מופיע בשלוש המשניות הראשונות? </w:t>
      </w:r>
      <w:r>
        <w:rPr>
          <w:rFonts w:ascii="Rubik MG" w:cs="Rubik MG" w:eastAsia="Rubik MG" w:hAnsi="Rubik MG"/>
          <w:b w:val="false"/>
          <w:color w:val="A69AA2"/>
          <w:sz w:val="24"/>
          <w:szCs w:val="24"/>
          <w:rtl/>
        </w:rPr>
        <w:t xml:space="preserve">‏________ ________‏</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238"/>
                    <w:gridCol w:w="3715"/>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משפט</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אמת/טעות</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מכרו ספר תורה – מותר לקנות בכסף מטפחות.</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לפי הברטנורא, «ספרים» הם ספרי נביאים וכתובים.</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ההלכה כרבי מאיר: מוכרים בית כנסת רק על תנאי.</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פרשת פרה נקראת בשבת שלפני פורים.</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ביום הכיפורים קוראים «אחרי מות».</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בתענית מפסיקים בקללות בין עולה לעולה.</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298" w:lineRule="auto"/>
                    <w:jc w:val="center"/>
                  </w:pPr>
                  <w:r>
                    <w:rPr>
                      <w:rFonts w:ascii="Rubik Bold MG" w:cs="Rubik Bold MG" w:eastAsia="Rubik Bold MG" w:hAnsi="Rubik Bold MG"/>
                      <w:b w:val="false"/>
                      <w:color w:val="5B2245"/>
                      <w:sz w:val="24"/>
                      <w:szCs w:val="24"/>
                      <w:rtl/>
                    </w:rPr>
                    <w:t xml:space="preserve">מעלין   ·   עגמת נפש   ·   זכור   ·   כסדרן   ·   קפנדריא   ·   מעין המאורע   ·   תנאי</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1. מכרו חפץ קדוש – קונים רק דבר קדוש יותר, כי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בקודש ואין מורידין.</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2. רבי מאיר: מוכרים בית כנסת רק על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שאם ירצו – יחזירוהו.</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3. אסור לעבור בבית כנסת שחרב לקיצור דרך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4. עשבים שעלו בבית כנסת שחרב – לא יתלוש, מפני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5. פרשת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נקראת בשבת הסמוכה לפורים.</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6. בראשי חודשים ובחנוכה מפטירים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«לכל מפסיקין».</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7. בשני ובחמישי קוראים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ואין עולין להם מן החשבון.</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הפרק</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הפרק פותח בבית הכנסת וממשיך בקריאת התורה. מה הקשר בין שני הנושאים?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הסבירו את הכלל «מעלין בקודש ואין מורידין» ותנו דוגמה אחת מן הפרק.</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טבלת סיכום – פרק בני העיר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3302"/>
                    <w:gridCol w:w="4953"/>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משנה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הנושא</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הדין או הכלל המרכזי</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ג</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ד</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ו</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90"/>
                    <w:left w:type="dxa" w:w="300"/>
                    <w:bottom w:type="dxa" w:w="90"/>
                    <w:right w:type="dxa" w:w="300"/>
                  </w:tcMar>
                </w:tcPr>
                <w:p>
                  <w:pPr>
                    <w:keepNext w:val="false"/>
                    <w:keepLines/>
                    <w:bidi/>
                    <w:spacing w:after="0" w:before="0" w:line="279" w:lineRule="auto"/>
                    <w:jc w:val="center"/>
                  </w:pPr>
                  <w:r>
                    <w:rPr>
                      <w:rFonts w:ascii="Suez One" w:cs="Suez One" w:eastAsia="Suez One" w:hAnsi="Suez One"/>
                      <w:b w:val="false"/>
                      <w:color w:val="5B2245"/>
                      <w:sz w:val="26"/>
                      <w:szCs w:val="26"/>
                      <w:rtl/>
                    </w:rPr>
                    <w:t xml:space="preserve">הדרן עלך פרק בני העיר</w:t>
                  </w:r>
                </w:p>
              </w:tc>
            </w:tr>
          </w:tbl>
          <w:p>
            <w:pPr>
              <w:spacing w:after="0" w:before="0" w:line="20" w:lineRule="exact"/>
            </w:pPr>
            <w:r>
              <w:rPr>
                <w:rFonts w:ascii="Rubik MG" w:cs="Rubik MG" w:eastAsia="Rubik MG" w:hAnsi="Rubik MG"/>
                <w:b w:val="false"/>
                <w:color w:val="2A1F28"/>
                <w:sz w:val="4"/>
                <w:szCs w:val="4"/>
                <w:rtl/>
              </w:rPr>
              <w:t xml:space="preserve"> </w:t>
            </w:r>
          </w:p>
        </w:tc>
      </w:tr>
    </w:tbl>
    <w:p>
      <w:pPr>
        <w:sectPr>
          <w:headerReference w:type="default" r:id="rId22"/>
          <w:footerReference w:type="default" r:id="rId23"/>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2A1F28"/>
          <w:sz w:val="8"/>
          <w:szCs w:val="8"/>
          <w:rtl/>
        </w:rPr>
        <w:t xml:space="preserve"> </w:t>
      </w:r>
    </w:p>
    <w:p>
      <w:pPr>
        <w:keepNext w:val="false"/>
        <w:keepLines/>
        <w:bidi/>
        <w:spacing w:after="0" w:before="0" w:line="279" w:lineRule="auto"/>
        <w:jc w:val="center"/>
      </w:pPr>
      <w:r>
        <w:rPr>
          <w:rFonts w:ascii="Rubik Medium MG" w:cs="Rubik Medium MG" w:eastAsia="Rubik Medium MG" w:hAnsi="Rubik Medium MG"/>
          <w:b w:val="false"/>
          <w:color w:val="A3541C"/>
          <w:sz w:val="25"/>
          <w:szCs w:val="25"/>
          <w:rtl/>
        </w:rPr>
        <w:t xml:space="preserve">מסכת מגילה</w:t>
      </w:r>
    </w:p>
    <w:p>
      <w:pPr>
        <w:keepNext w:val="false"/>
        <w:keepLines/>
        <w:bidi/>
        <w:spacing w:after="16" w:before="0" w:line="223" w:lineRule="auto"/>
        <w:jc w:val="center"/>
      </w:pPr>
      <w:r>
        <w:rPr>
          <w:rFonts w:ascii="Suez One" w:cs="Suez One" w:eastAsia="Suez One" w:hAnsi="Suez One"/>
          <w:b w:val="false"/>
          <w:color w:val="5B2245"/>
          <w:sz w:val="75"/>
          <w:szCs w:val="75"/>
          <w:rtl/>
        </w:rPr>
        <w:t xml:space="preserve">פרק רביעי – הקורא עומד</w:t>
      </w:r>
    </w:p>
    <w:p>
      <w:pPr>
        <w:keepNext w:val="false"/>
        <w:keepLines/>
        <w:bidi/>
        <w:spacing w:after="48" w:before="0" w:line="279" w:lineRule="auto"/>
        <w:jc w:val="center"/>
      </w:pPr>
      <w:r>
        <w:rPr>
          <w:rFonts w:ascii="Rubik Medium MG" w:cs="Rubik Medium MG" w:eastAsia="Rubik Medium MG" w:hAnsi="Rubik Medium MG"/>
          <w:b w:val="false"/>
          <w:color w:val="1D6A66"/>
          <w:sz w:val="26"/>
          <w:szCs w:val="26"/>
          <w:rtl/>
        </w:rPr>
        <w:t xml:space="preserve">משניות א–י</w:t>
      </w:r>
    </w:p>
    <w:p>
      <w:pPr>
        <w:keepNext w:val="false"/>
        <w:bidi/>
        <w:spacing w:after="176"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5143500" cy="3429000"/>
                    </a:xfrm>
                    <a:prstGeom prst="rect">
                      <a:avLst/>
                    </a:prstGeom>
                  </pic:spPr>
                </pic:pic>
              </a:graphicData>
            </a:graphic>
          </wp:inline>
        </w:drawing>
      </w:r>
    </w:p>
    <w:p>
      <w:pPr>
        <w:spacing w:after="0" w:before="0" w:line="208"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6EDF2"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5B2245"/>
                <w:sz w:val="24"/>
                <w:szCs w:val="24"/>
                <w:rtl/>
              </w:rPr>
              <w:t xml:space="preserve">כמה עולים לתורה?</w:t>
            </w:r>
            <w:r>
              <w:rPr>
                <w:rFonts w:ascii="Rubik Bold MG" w:cs="Rubik Bold MG" w:eastAsia="Rubik Bold MG" w:hAnsi="Rubik Bold MG"/>
                <w:b w:val="false"/>
                <w:color w:val="A3541C"/>
                <w:sz w:val="23"/>
                <w:szCs w:val="23"/>
                <w:rtl/>
              </w:rPr>
              <w:t xml:space="preserve">   ·   עמוד 67</w:t>
            </w:r>
          </w:p>
          <w:p>
            <w:pPr>
              <w:bidi/>
              <w:spacing w:after="50" w:before="0"/>
              <w:jc w:val="both"/>
            </w:pPr>
            <w:r>
              <w:rPr>
                <w:rFonts w:ascii="Rubik Medium MG" w:cs="Rubik Medium MG" w:eastAsia="Rubik Medium MG" w:hAnsi="Rubik Medium MG"/>
                <w:b w:val="false"/>
                <w:color w:val="5B2245"/>
                <w:sz w:val="24"/>
                <w:szCs w:val="24"/>
                <w:rtl/>
              </w:rPr>
              <w:t xml:space="preserve">דברים שבקדושה וסדר הקריאה</w:t>
            </w:r>
            <w:r>
              <w:rPr>
                <w:rFonts w:ascii="Rubik Bold MG" w:cs="Rubik Bold MG" w:eastAsia="Rubik Bold MG" w:hAnsi="Rubik Bold MG"/>
                <w:b w:val="false"/>
                <w:color w:val="A3541C"/>
                <w:sz w:val="23"/>
                <w:szCs w:val="23"/>
                <w:rtl/>
              </w:rPr>
              <w:t xml:space="preserve">   ·   עמוד 71</w:t>
            </w:r>
          </w:p>
          <w:p>
            <w:pPr>
              <w:bidi/>
              <w:spacing w:after="50" w:before="0"/>
              <w:jc w:val="both"/>
            </w:pPr>
            <w:r>
              <w:rPr>
                <w:rFonts w:ascii="Rubik Medium MG" w:cs="Rubik Medium MG" w:eastAsia="Rubik Medium MG" w:hAnsi="Rubik Medium MG"/>
                <w:b w:val="false"/>
                <w:color w:val="5B2245"/>
                <w:sz w:val="24"/>
                <w:szCs w:val="24"/>
                <w:rtl/>
              </w:rPr>
              <w:t xml:space="preserve">המפטיר והקטן</w:t>
            </w:r>
            <w:r>
              <w:rPr>
                <w:rFonts w:ascii="Rubik Bold MG" w:cs="Rubik Bold MG" w:eastAsia="Rubik Bold MG" w:hAnsi="Rubik Bold MG"/>
                <w:b w:val="false"/>
                <w:color w:val="A3541C"/>
                <w:sz w:val="23"/>
                <w:szCs w:val="23"/>
                <w:rtl/>
              </w:rPr>
              <w:t xml:space="preserve">   ·   עמוד 75</w:t>
            </w:r>
          </w:p>
          <w:p>
            <w:pPr>
              <w:bidi/>
              <w:spacing w:after="50" w:before="0"/>
              <w:jc w:val="both"/>
            </w:pPr>
            <w:r>
              <w:rPr>
                <w:rFonts w:ascii="Rubik Medium MG" w:cs="Rubik Medium MG" w:eastAsia="Rubik Medium MG" w:hAnsi="Rubik Medium MG"/>
                <w:b w:val="false"/>
                <w:color w:val="5B2245"/>
                <w:sz w:val="24"/>
                <w:szCs w:val="24"/>
                <w:rtl/>
              </w:rPr>
              <w:t xml:space="preserve">נשיאת כפיים ושליח הציבור</w:t>
            </w:r>
            <w:r>
              <w:rPr>
                <w:rFonts w:ascii="Rubik Bold MG" w:cs="Rubik Bold MG" w:eastAsia="Rubik Bold MG" w:hAnsi="Rubik Bold MG"/>
                <w:b w:val="false"/>
                <w:color w:val="A3541C"/>
                <w:sz w:val="23"/>
                <w:szCs w:val="23"/>
                <w:rtl/>
              </w:rPr>
              <w:t xml:space="preserve">   ·   עמוד 78</w:t>
            </w:r>
          </w:p>
          <w:p>
            <w:pPr>
              <w:bidi/>
              <w:spacing w:after="50" w:before="0"/>
              <w:jc w:val="both"/>
            </w:pPr>
            <w:r>
              <w:rPr>
                <w:rFonts w:ascii="Rubik Medium MG" w:cs="Rubik Medium MG" w:eastAsia="Rubik Medium MG" w:hAnsi="Rubik Medium MG"/>
                <w:b w:val="false"/>
                <w:color w:val="5B2245"/>
                <w:sz w:val="24"/>
                <w:szCs w:val="24"/>
                <w:rtl/>
              </w:rPr>
              <w:t xml:space="preserve">נוסחים שאין אומרים, ופרשיות שאין מתרגמים</w:t>
            </w:r>
            <w:r>
              <w:rPr>
                <w:rFonts w:ascii="Rubik Bold MG" w:cs="Rubik Bold MG" w:eastAsia="Rubik Bold MG" w:hAnsi="Rubik Bold MG"/>
                <w:b w:val="false"/>
                <w:color w:val="A3541C"/>
                <w:sz w:val="23"/>
                <w:szCs w:val="23"/>
                <w:rtl/>
              </w:rPr>
              <w:t xml:space="preserve">   ·   עמוד 82</w:t>
            </w:r>
          </w:p>
          <w:p>
            <w:pPr>
              <w:bidi/>
              <w:spacing w:after="50" w:before="0"/>
              <w:jc w:val="both"/>
            </w:pPr>
            <w:r>
              <w:rPr>
                <w:rFonts w:ascii="Rubik Medium MG" w:cs="Rubik Medium MG" w:eastAsia="Rubik Medium MG" w:hAnsi="Rubik Medium MG"/>
                <w:b w:val="false"/>
                <w:color w:val="5B2245"/>
                <w:sz w:val="24"/>
                <w:szCs w:val="24"/>
                <w:rtl/>
              </w:rPr>
              <w:t xml:space="preserve">חזרה – פרק רביעי</w:t>
            </w:r>
            <w:r>
              <w:rPr>
                <w:rFonts w:ascii="Rubik Bold MG" w:cs="Rubik Bold MG" w:eastAsia="Rubik Bold MG" w:hAnsi="Rubik Bold MG"/>
                <w:b w:val="false"/>
                <w:color w:val="A3541C"/>
                <w:sz w:val="23"/>
                <w:szCs w:val="23"/>
                <w:rtl/>
              </w:rPr>
              <w:t xml:space="preserve">   ·   עמוד 85</w:t>
            </w:r>
          </w:p>
        </w:tc>
      </w:tr>
    </w:tbl>
    <w:p>
      <w:pPr>
        <w:sectPr>
          <w:headerReference w:type="default" r:id="rId24"/>
          <w:footerReference w:type="default" r:id="rId25"/>
          <w:pgSz w:w="11906" w:h="16838" w:orient="portrait"/>
          <w:pgMar w:top="1380" w:right="1000" w:bottom="1150" w:left="1000" w:header="330" w:footer="420" w:gutter="0"/>
          <w:pgNumType/>
          <w:docGrid w:linePitch="360"/>
        </w:sectPr>
      </w:pPr>
    </w:p>
    <w:p>
      <w:pPr>
        <w:spacing w:after="0" w:before="0" w:line="240"/>
      </w:pPr>
      <w:r>
        <w:rPr>
          <w:rFonts w:ascii="Arial" w:cs="Arial" w:eastAsia="Arial" w:hAnsi="Arial"/>
          <w:color w:val="FDF8F2"/>
          <w:sz w:val="2"/>
          <w:szCs w:val="2"/>
        </w:rPr>
        <w:t xml:space="preserve">QQS17QQ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24"/>
                <w:szCs w:val="24"/>
                <w:rtl/>
              </w:rPr>
              <w:t xml:space="preserve">פרק רביעי – הקורא עומד · כמה עולים לתורה?</w:t>
            </w:r>
          </w:p>
          <w:p>
            <w:pPr>
              <w:keepNext/>
              <w:keepLines/>
              <w:bidi/>
              <w:spacing w:after="60" w:before="0" w:line="240" w:lineRule="auto"/>
              <w:jc w:val="both"/>
            </w:pPr>
            <w:r>
              <w:rPr>
                <w:rFonts w:ascii="Suez One" w:cs="Suez One" w:eastAsia="Suez One" w:hAnsi="Suez One"/>
                <w:b w:val="false"/>
                <w:color w:val="5B2245"/>
                <w:sz w:val="51"/>
                <w:szCs w:val="51"/>
                <w:rtl/>
              </w:rPr>
              <w:t xml:space="preserve">כמה עולים לתורה?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להבין את דיני קריאת המגילה: עמידה וישיבה, אחד או שניים, ברכה // לדעת כמה עולים לתורה בכל יום, ולמה // להבין את הכלל «כל שיש בו מוסף ואינו יום טוב» // לקרוא את הברטנורא ולמצוא את הטעם לכל דין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בפרק האחרון של המסכת עוברת המשנה מקריאת המגילה אל קריאת התורה בבית הכנסת. נלמד כמה אנשים עולים לתורה בכל יום, ומתי מוסיפים הפטרה מן הנביא.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הַקּוֹרֵא אֶת הַמְּגִלָּה – עוֹמֵד וְיוֹשֵׁב. קְרָאָהּ אֶחָד, קְרָאוּהָ שְׁנַיִם, יָצְאוּ. מָקוֹם שֶׁנָּהֲגוּ לְבָרֵךְ, יְבָרֵךְ; וְשֶׁלֹּא לְבָרֵךְ, לֹא יְבָרֵךְ. בְּשֵׁנִי וּבַחֲמִישִׁי וּבְשַׁבָּת בְּמִנְחָה, קוֹרִין שְׁלֹשָׁה. אֵין פּוֹחֲתִין וְאֵין מוֹסִיפִין עֲלֵיהֶן, וְאֵין מַפְטִירִין בְּנָבִיא. הַפּוֹתֵחַ וְהַחוֹתֵם בַּתּוֹרָה, מְבָרֵךְ לְפָנֶיהָ וּלְאַחֲרֶיהָ: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א')</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בְּרָאשֵׁי חֳדָשִׁים וּבְחֻלּוֹ שֶׁל מוֹעֵד, קוֹרִין אַרְבָּעָה. אֵין פּוֹחֲתִין מֵהֶן וְאֵין מוֹסִיפִין עֲלֵיהֶן, וְאֵין מַפְטִירִין בְּנָבִיא. הַפּוֹתֵחַ וְהַחוֹתֵם בַּתּוֹרָה, מְבָרֵךְ לְפָנֶיהָ וּלְאַחֲרֶיהָ. זֶה הַכְּלָל: כָּל שֶׁיֵּשׁ בּוֹ מוּסָף וְאֵינוֹ יוֹם טוֹב, קוֹרִין אַרְבָּעָה. בְּיוֹם טוֹב, חֲמִשָּׁה. בְּיוֹם הַכִּפּוּרִים, שִׁשָּׁה. בְּשַׁבָּת, שִׁבְעָה. אֵין פּוֹחֲתִין מֵהֶן, אֲבָל מוֹסִיפִין עֲלֵיהֶן, וּמַפְטִירִין בְּנָבִיא. הַפּוֹתֵחַ וְהַחוֹתֵם בַּתּוֹרָה, מְבָרֵךְ לְפָנֶיהָ וּלְאַחֲרֶיהָ: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ב')</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עומד ויושב</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שקורא את המגילה רשאי לעמוד ורשאי לשבת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יצאו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קיימו את המצווה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פוחתין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מורידים, ממעטים במספר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מוסיפין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מגדילים את המספר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מפטירין בנביא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הפטרה – קטע מספרי הנביאים אחרי קריאת התורה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הפותח והחותם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העולה הראשון לתורה והעולה האחרון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חלו של מועד</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הימים שבין היום הראשון והאחרון של פסח וסוכות</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המספר ביום חול</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מלאו את התרשים לפי סוף משנה א.</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38"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מי שקורא את המגילה – האם עליו לעמוד? </w:t>
            </w:r>
            <w:r>
              <w:rPr>
                <w:rFonts w:ascii="Rubik MG" w:cs="Rubik MG" w:eastAsia="Rubik MG" w:hAnsi="Rubik MG"/>
                <w:b w:val="false"/>
                <w:color w:val="A69AA2"/>
                <w:sz w:val="24"/>
                <w:szCs w:val="24"/>
                <w:rtl/>
              </w:rPr>
              <w:t xml:space="preserve">‏________ ________ ________ 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שני אנשים קראו את המגילה יחד בקול. האם יצאו ידי חובה? </w:t>
      </w:r>
      <w:r>
        <w:rPr>
          <w:rFonts w:ascii="Rubik MG" w:cs="Rubik MG" w:eastAsia="Rubik MG" w:hAnsi="Rubik MG"/>
          <w:b w:val="false"/>
          <w:color w:val="A69AA2"/>
          <w:sz w:val="24"/>
          <w:szCs w:val="24"/>
          <w:rtl/>
        </w:rPr>
        <w:t xml:space="preserve">‏________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השלימו: בימי שני וחמישי, וכן בשבת במנחה, עולים לתורה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אנשים, ואין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העתיקו מן המשנה את «זה הכלל» והסבירו אותו במילים שלכם.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ההבדל בין ראש חודש ובין שבת בעניין הוספה על מספר העולים?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איזה משפט חוזר בשתי המשניות? </w:t>
      </w:r>
      <w:r>
        <w:rPr>
          <w:rFonts w:ascii="Rubik MG" w:cs="Rubik MG" w:eastAsia="Rubik MG" w:hAnsi="Rubik MG"/>
          <w:b w:val="false"/>
          <w:color w:val="A69AA2"/>
          <w:sz w:val="24"/>
          <w:szCs w:val="24"/>
          <w:rtl/>
        </w:rPr>
        <w:t xml:space="preserve">‏________ ________ ________ ________ ________ ________‏</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מה ההבדל? – טבלת העולים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1981"/>
                    <w:gridCol w:w="1982"/>
                  </w:tblGrid>
                  <w:tr>
                    <w:trPr>
                      <w:cantSplit/>
                      <w:tblHeader/>
                    </w:trPr>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היום</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כמה עולים?</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מוסיפים?</w:t>
                        </w:r>
                      </w:p>
                    </w:tc>
                    <w:tc>
                      <w:tcPr>
                        <w:tcW w:type="dxa" w:w="198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הפטרה?</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שני וחמישי, שבת במנחה</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ראש חודש וחול המועד</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טוב</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הכיפורים</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 (בבוקר)</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בי"ט ה' – </w:t>
                        </w:r>
                        <w:r>
                          <w:rPr>
                            <w:rFonts w:ascii="Frank Ruhl TB" w:cs="Frank Ruhl TB" w:eastAsia="Frank Ruhl TB" w:hAnsi="Frank Ruhl TB"/>
                            <w:b w:val="false"/>
                            <w:color w:val="2A1F28"/>
                            <w:sz w:val="25"/>
                            <w:szCs w:val="25"/>
                            <w:rtl/>
                          </w:rPr>
                          <w:t xml:space="preserve">דכל דטפי ליה מלתא מחבריה, טפי ליה גברא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מה מבאר הברטנורא? השלימו: ככל שהיום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כך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בי"ט ה' – </w:t>
                  </w:r>
                  <w:r>
                    <w:rPr>
                      <w:rFonts w:ascii="Frank Ruhl TB" w:cs="Frank Ruhl TB" w:eastAsia="Frank Ruhl TB" w:hAnsi="Frank Ruhl TB"/>
                      <w:b w:val="false"/>
                      <w:color w:val="2A1F28"/>
                      <w:sz w:val="25"/>
                      <w:szCs w:val="25"/>
                      <w:rtl/>
                    </w:rPr>
                    <w:t xml:space="preserve">יו"ט דאיכא בטול מלאכה קורין חמשה. ויוה"כ דענוש כרת קורין ששה. שבת דחיוב סקילה קורין שבעה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לפי הברטנורא, מה מיוחד בכל יום שגורם להוסיף עולה?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5944"/>
            </w:tblGrid>
            <w:tr>
              <w:trPr>
                <w:cantSplit/>
                <w:tblHeader/>
              </w:trPr>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היום</w:t>
                  </w:r>
                </w:p>
              </w:tc>
              <w:tc>
                <w:tcPr>
                  <w:tcW w:type="dxa" w:w="594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מיוחד בו לפי הברטנורא?</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טוב</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הכיפורים</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ואין מוסיפין עליהן – </w:t>
                  </w:r>
                  <w:r>
                    <w:rPr>
                      <w:rFonts w:ascii="Frank Ruhl TB" w:cs="Frank Ruhl TB" w:eastAsia="Frank Ruhl TB" w:hAnsi="Frank Ruhl TB"/>
                      <w:b w:val="false"/>
                      <w:color w:val="2A1F28"/>
                      <w:sz w:val="25"/>
                      <w:szCs w:val="25"/>
                      <w:rtl/>
                    </w:rPr>
                    <w:t xml:space="preserve">שלא יקשה לצבור, מפני שהן ימי מלאכה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איזה קושי פותר הברטנורא כאן? כלומר: למה לא מוסיפים עולים ביום שני וחמישי?</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10.  </w:t>
            </w:r>
            <w:r>
              <w:rPr>
                <w:rFonts w:ascii="Rubik MG" w:cs="Rubik MG" w:eastAsia="Rubik MG" w:hAnsi="Rubik MG"/>
                <w:b w:val="false"/>
                <w:color w:val="2A1F28"/>
                <w:sz w:val="24"/>
                <w:szCs w:val="24"/>
                <w:rtl/>
              </w:rPr>
              <w:t xml:space="preserve">בברטנורא על משנה א מסופר שהיום כל העולים מברכים לפני הקריאה ואחריה – כדי שמי שנכנס באמצע או יוצא באמצע לא יחשוב שאין ברכה. מה אפשר ללמוד מכך על הדאגה לכל אחד מן המתפללים?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בשמחת תורה נוהגים להעלות לתורה את כל הקהל, ואפילו את הילדים יחד עם מבוגר – זה אפשרי כי ביום טוב «מוסיפין עליהן».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4191000" cy="2790825"/>
                    </a:xfrm>
                    <a:prstGeom prst="rect">
                      <a:avLst/>
                    </a:prstGeom>
                  </pic:spPr>
                </pic:pic>
              </a:graphicData>
            </a:graphic>
          </wp:inline>
        </w:drawing>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QQS18QQ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רביעי – הקורא עומד · דברים שבקדושה וסדר הקריאה</w:t>
            </w:r>
          </w:p>
          <w:p>
            <w:pPr>
              <w:keepNext/>
              <w:keepLines/>
              <w:bidi/>
              <w:spacing w:after="60" w:before="0" w:line="240" w:lineRule="auto"/>
              <w:jc w:val="both"/>
            </w:pPr>
            <w:r>
              <w:rPr>
                <w:rFonts w:ascii="Suez One" w:cs="Suez One" w:eastAsia="Suez One" w:hAnsi="Suez One"/>
                <w:b w:val="false"/>
                <w:color w:val="5B2245"/>
                <w:sz w:val="51"/>
                <w:szCs w:val="51"/>
                <w:rtl/>
              </w:rPr>
              <w:t xml:space="preserve">דברים שבקדושה וסדר הקריאה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למנות את הדברים שאין עושים בפחות מעשרה // להבין מה זה «דבר שבקדושה» ומניין לומדים שצריך עשרה // לדעת כמה פסוקים קוראים ומתרגמים בתורה ובנביא // להשוות בין דיני התורה לדיני הנביא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פּוֹרְסִין אֶת שְׁמַע, וְאֵין עוֹבְרִין לִפְנֵי הַתֵּבָה, וְאֵין נוֹשְׂאִין אֶת כַּפֵּיהֶם, וְאֵין קוֹרִין בַּתּוֹרָה, וְאֵין מַפְטִירִין בַּנָּבִיא, וְאֵין עוֹשִׂין מַעֲמָד וּמוֹשָׁב, וְאֵין אוֹמְרִים בִּרְכַּת אֲבֵלִים וְתַנְחוּמֵי אֲבֵלִים וּבִרְכַּת חֲתָנִים, וְאֵין מְזַמְּנִין בַּשֵּׁם, פָּחוֹת מֵעֲשָׂרָה. וּבַקַּרְקָעוֹת, תִּשְׁעָה וְכֹהֵן; וְאָדָם, כַּיּוֹצֵא בָּהֶן:</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ג')</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פורסין את שמע</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אומרים קדיש, ברכו וברכה ראשונה של קריאת שמע בשביל מי שאיחר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עוברין לפני התבה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משמשים שליח ציבור בתפילה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נושאין את כפיהם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הכוהנים מברכים את העם בברכת כוהנים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מעמד ומושב</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עמידה וישיבה שבע פעמים בדרך לקבורה, לכבוד המת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מזמנין בשם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אומרים בזימון «נברך אלהינו»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קרקעות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שדות שהוקדשו להקדש ורוצים לפדות אותם</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כמה דברים מונה המשנה שאין עושים «פחות מעשרה»?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(פורסין את שמע, עוברין לפני התבה, נושאין את כפיהם, קורין בתורה, מפטירין בנביא, מעמד ומושב, ברכת אבלים, תנחומי אבלים, ברכת חתנים, מזמנין בשם)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מיינו את הדברים שבמשנה לפי המקום שבו הם נעשים.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3302"/>
              <w:gridCol w:w="3302"/>
            </w:tblGrid>
            <w:tr>
              <w:trPr>
                <w:cantSplit/>
                <w:tblHeader/>
              </w:trPr>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בתפילה ובקריאה בבית הכנסת</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באבלות ובכבוד המת</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בשמחה ובסעודה</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בפדיון קרקעות של הקדש צריך עשרה, ובתנאי מיוחד. מהו? </w:t>
      </w:r>
      <w:r>
        <w:rPr>
          <w:rFonts w:ascii="Rubik MG" w:cs="Rubik MG" w:eastAsia="Rubik MG" w:hAnsi="Rubik MG"/>
          <w:b w:val="false"/>
          <w:color w:val="A69AA2"/>
          <w:sz w:val="24"/>
          <w:szCs w:val="24"/>
          <w:rtl/>
        </w:rPr>
        <w:t xml:space="preserve">‏________ ________ ________ ________ ________ ________‏</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ואין קורין בתורה – </w:t>
                        </w:r>
                        <w:r>
                          <w:rPr>
                            <w:rFonts w:ascii="Frank Ruhl TB" w:cs="Frank Ruhl TB" w:eastAsia="Frank Ruhl TB" w:hAnsi="Frank Ruhl TB"/>
                            <w:b w:val="false"/>
                            <w:color w:val="2A1F28"/>
                            <w:sz w:val="25"/>
                            <w:szCs w:val="25"/>
                            <w:rtl/>
                          </w:rPr>
                          <w:t xml:space="preserve">כל דבר שבקדושה לא יהא בפחות מעשרה, כתיב הכא בתוך בני ישראל, וכתיב התם (במדבר טו) הבדלו מתוך העדה הזאת, מה להלן עשרה, שאין עדה פחותה מעשרה, אף כאן עשרה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מה מבאר הברטנורא? מניין לומדים שדבר שבקדושה צריך עשרה? השלימו את השרשרת: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שלב</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כתוב?</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פסוק א (ויקרא כב)</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פסוק ב (במדבר טו)</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המילה המשותפת</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עדה היא לפחות</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המסקנה</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«העדה הזאת» שבמדבר היא המרגלים – עשרה מרגלים שהוציאו דיבה על הארץ (שנים, יהושע וכלב, לא היו עמם). מכאן לומדים חז"ל שעדה היא עשרה.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הַקּוֹרֵא בַּתּוֹרָה, לֹא יִפְחֹת מִשְּׁלֹשָׁה פְּסוּקִים. לֹא יִקְרָא לַמְּתֻרְגְּמָן יוֹתֵר מִפָּסוּק אֶחָד, וּבַנָּבִיא שְׁלֹשָׁה. הָיוּ שְׁלָשְׁתָּן שָׁלֹשׁ פָּרָשִׁיּוֹת, קוֹרִין אֶחָד אֶחָד. מְדַלְּגִין בַּנָּבִיא, וְאֵין מְדַלְּגִין בַּתּוֹרָה. וְעַד כַּמָּה הוּא מְדַלֵּג? עַד כְּדֵי שֶׁלֹּא יִפְסֹק הַתֻּרְגְּמָן:</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ד')</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השלימו: הקורא בתורה לא יקרא פחות מ</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פסוקים.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ההבדל בין התורה ובין הנביא? מלאו את הטבלה.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3302"/>
              <w:gridCol w:w="3302"/>
            </w:tblGrid>
            <w:tr>
              <w:trPr>
                <w:cantSplit/>
                <w:tblHeader/>
              </w:trPr>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הנושא</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בתורה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בנביא</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כמה פסוקים קוראים בבת אחת לפני המתרגם?</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האם מדלגים?</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«עד כמה הוא מדלג?» – מה עונה המשנה, ומה הכוונה?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ולא יקרא למתורגמן יותר מפסוק אחד – </w:t>
                        </w:r>
                        <w:r>
                          <w:rPr>
                            <w:rFonts w:ascii="Frank Ruhl TB" w:cs="Frank Ruhl TB" w:eastAsia="Frank Ruhl TB" w:hAnsi="Frank Ruhl TB"/>
                            <w:b w:val="false"/>
                            <w:color w:val="2A1F28"/>
                            <w:sz w:val="25"/>
                            <w:szCs w:val="25"/>
                            <w:rtl/>
                          </w:rPr>
                          <w:t xml:space="preserve">שלא יטעה המתורגמן שמתרגם על פה:</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ובנביא שלשה – </w:t>
                        </w:r>
                        <w:r>
                          <w:rPr>
                            <w:rFonts w:ascii="Frank Ruhl TB" w:cs="Frank Ruhl TB" w:eastAsia="Frank Ruhl TB" w:hAnsi="Frank Ruhl TB"/>
                            <w:b w:val="false"/>
                            <w:color w:val="2A1F28"/>
                            <w:sz w:val="25"/>
                            <w:szCs w:val="25"/>
                            <w:rtl/>
                          </w:rPr>
                          <w:t xml:space="preserve">ולא אכפת לן אם יטעה דלא נפקא לן הוראה מינייהו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איזה קושי פותר הברטנורא? למה בתורה קוראים למתרגם רק פסוק אחד, ובנביא מותר שלשה?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עד שלא יפסיק התורגמן – </w:t>
                  </w:r>
                  <w:r>
                    <w:rPr>
                      <w:rFonts w:ascii="Frank Ruhl TB" w:cs="Frank Ruhl TB" w:eastAsia="Frank Ruhl TB" w:hAnsi="Frank Ruhl TB"/>
                      <w:b w:val="false"/>
                      <w:color w:val="2A1F28"/>
                      <w:sz w:val="25"/>
                      <w:szCs w:val="25"/>
                      <w:rtl/>
                    </w:rPr>
                    <w:t xml:space="preserve">שאין כבוד לצבור לעמוד שם בשתיקה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לפי הברטנורא, מה הטעם שאסור לדלג יותר מדי? </w:t>
      </w:r>
      <w:r>
        <w:rPr>
          <w:rFonts w:ascii="Rubik MG" w:cs="Rubik MG" w:eastAsia="Rubik MG" w:hAnsi="Rubik MG"/>
          <w:b w:val="false"/>
          <w:color w:val="A69AA2"/>
          <w:sz w:val="24"/>
          <w:szCs w:val="24"/>
          <w:rtl/>
        </w:rPr>
        <w:t xml:space="preserve">‏________ ________ ________ ________ ________‏</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03"/>
                    <w:gridCol w:w="1101"/>
                    <w:gridCol w:w="4402"/>
                  </w:tblGrid>
                  <w:tr>
                    <w:trPr>
                      <w:cantSplit/>
                      <w:tblHeader/>
                    </w:trPr>
                    <w:tc>
                      <w:tcPr>
                        <w:tcW w:type="dxa" w:w="44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11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44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מותר לקרוא בתורה בציבור גם כשיש רק שמונה אנשים.</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4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בנביא מדלגים, ובתורה אין מדלגים.</w:t>
                        </w:r>
                      </w:p>
                    </w:tc>
                    <w:tc>
                      <w:tcPr>
                        <w:tcW w:type="dxa" w:w="11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4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כל עולה לתורה קורא לפחות שני פסוקים.</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4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המתרגם מתרגם מתוך ספר כתוב.</w:t>
                        </w:r>
                      </w:p>
                    </w:tc>
                    <w:tc>
                      <w:tcPr>
                        <w:tcW w:type="dxa" w:w="11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4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10.  </w:t>
            </w:r>
            <w:r>
              <w:rPr>
                <w:rFonts w:ascii="Rubik MG" w:cs="Rubik MG" w:eastAsia="Rubik MG" w:hAnsi="Rubik MG"/>
                <w:b w:val="false"/>
                <w:color w:val="2A1F28"/>
                <w:sz w:val="24"/>
                <w:szCs w:val="24"/>
                <w:rtl/>
              </w:rPr>
              <w:t xml:space="preserve">מדוע לדעתכם קבעו חכמים שדברים שבקדושה ייאמרו רק בציבור של עשרה? איך זה משפיע על החשיבות של כל אחד שמגיע למניין?</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4191000" cy="2790825"/>
                    </a:xfrm>
                    <a:prstGeom prst="rect">
                      <a:avLst/>
                    </a:prstGeom>
                  </pic:spPr>
                </pic:pic>
              </a:graphicData>
            </a:graphic>
          </wp:inline>
        </w:drawing>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QQS19QQ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רביעי – הקורא עומד · המפטיר והקטן</w:t>
            </w:r>
          </w:p>
          <w:p>
            <w:pPr>
              <w:keepNext/>
              <w:keepLines/>
              <w:bidi/>
              <w:spacing w:after="60" w:before="0" w:line="240" w:lineRule="auto"/>
              <w:jc w:val="both"/>
            </w:pPr>
            <w:r>
              <w:rPr>
                <w:rFonts w:ascii="Suez One" w:cs="Suez One" w:eastAsia="Suez One" w:hAnsi="Suez One"/>
                <w:b w:val="false"/>
                <w:color w:val="5B2245"/>
                <w:sz w:val="51"/>
                <w:szCs w:val="51"/>
                <w:rtl/>
              </w:rPr>
              <w:t xml:space="preserve">המפטיר והקטן</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להבין איזה כבוד נתנו חכמים למפטיר בנביא // לדעת מה קטן רשאי לעשות בבית הכנסת ומה אינו רשאי // להבין את ההבדל בין «מוציא את הרבים» לבין «כבוד הציבור» // לזהות מחלוקת בין תנא קמא לרבי יהודה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הַמַּפְטִיר בַּנָּבִיא הוּא פּוֹרֵס עַל שְׁמַע, וְהוּא עוֹבֵר לִפְנֵי הַתֵּבָה, וְהוּא נוֹשֵׂא אֶת כַּפָּיו. וְאִם הָיָה קָטָן, אָבִיו אוֹ רַבּוֹ עוֹבְרִין עַל יָדוֹ:</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ה')</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קָטָן קוֹרֵא בַּתּוֹרָה וּמְתַרְגֵּם, אֲבָל אֵינוֹ פּוֹרֵס עַל שְׁמַע, וְאֵינוֹ עוֹבֵר לִפְנֵי הַתֵּיבָה, וְאֵינוֹ נוֹשֵׂא אֶת כַּפָּיו. פּוֹחֵחַ פּוֹרֵס אֶת שְׁמַע וּמְתַרְגֵּם, אֲבָל אֵינוֹ קוֹרֵא בַּתּוֹרָה, וְאֵינוֹ עוֹבֵר לִפְנֵי הַתֵּבָה, וְאֵינוֹ נוֹשֵׂא אֶת כַּפָּיו. סוּמָא פּוֹרֵס אֶת שְׁמַע וּמְתַרְגֵּם. רַבִּי יְהוּדָה אוֹמֵר: כֹּל שֶׁלֹּא רָאָה מְאוֹרוֹת מִיָּמָיו, אֵינוֹ פּוֹרֵס עַל שְׁמַע:</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ו')</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המפטיר בנביא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שקורא את ההפטרה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פורס על שמע</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אומר את ברכות קריאת שמע בשביל הציבור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על ידו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בשבילו, במקומו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ומתרגם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מתרגם את הקריאה לארמית לפני הציבור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פוחח</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אדם שבגדיו קרועים ואינו לבוש כראוי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סומא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עיוור, שאינו רואה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מאורות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אור השמש, הירח והכוכבים</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משנה 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והוא עובר לפני התיבה – </w:t>
                        </w:r>
                        <w:r>
                          <w:rPr>
                            <w:rFonts w:ascii="Frank Ruhl TB" w:cs="Frank Ruhl TB" w:eastAsia="Frank Ruhl TB" w:hAnsi="Frank Ruhl TB"/>
                            <w:b w:val="false"/>
                            <w:color w:val="2A1F28"/>
                            <w:sz w:val="25"/>
                            <w:szCs w:val="25"/>
                            <w:rtl/>
                          </w:rPr>
                          <w:t xml:space="preserve">הואיל וממציא את עצמו להפטיר דהוי דבר שאינו כבודו תקנו לו את זו לכבודו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איזה קושי פותר הברטנורא? למה דווקא המפטיר זוכה לעבור לפני התיבה?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השלימו את הטבלה לפי משנה ו (✔ = רשאי, ✘ = אינו רשאי):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1415"/>
              <w:gridCol w:w="1415"/>
              <w:gridCol w:w="1415"/>
              <w:gridCol w:w="1415"/>
              <w:gridCol w:w="1416"/>
            </w:tblGrid>
            <w:tr>
              <w:trPr>
                <w:cantSplit/>
                <w:tblHeader/>
              </w:trPr>
              <w:tc>
                <w:tcPr>
                  <w:tcW w:type="dxa" w:w="2830"/>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קורא בתורה</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מתרגם</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פורס על שמע</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עובר לפני התיבה</w:t>
                  </w:r>
                </w:p>
              </w:tc>
              <w:tc>
                <w:tcPr>
                  <w:tcW w:type="dxa" w:w="141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נושא כפיו</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קטן</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41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פוחח</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41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סומא (לפי תנא קמא)</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w:t>
                  </w:r>
                </w:p>
              </w:tc>
              <w:tc>
                <w:tcPr>
                  <w:tcW w:type="dxa" w:w="141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לפי הטבלה: מה הקטן רשאי לעשות והפוחח אינו רשאי? </w:t>
      </w:r>
      <w:r>
        <w:rPr>
          <w:rFonts w:ascii="Rubik MG" w:cs="Rubik MG" w:eastAsia="Rubik MG" w:hAnsi="Rubik MG"/>
          <w:b w:val="false"/>
          <w:color w:val="A69AA2"/>
          <w:sz w:val="24"/>
          <w:szCs w:val="24"/>
          <w:rtl/>
        </w:rPr>
        <w:t xml:space="preserve">‏________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ומה הפוחח רשאי לעשות והקטן אינו רשאי? </w:t>
      </w:r>
      <w:r>
        <w:rPr>
          <w:rFonts w:ascii="Rubik MG" w:cs="Rubik MG" w:eastAsia="Rubik MG" w:hAnsi="Rubik MG"/>
          <w:b w:val="false"/>
          <w:color w:val="A69AA2"/>
          <w:sz w:val="24"/>
          <w:szCs w:val="24"/>
          <w:rtl/>
        </w:rPr>
        <w:t xml:space="preserve">‏________ ________‏</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 – שני טעמים שונים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אבל אינו פורס על שמע – </w:t>
                        </w:r>
                        <w:r>
                          <w:rPr>
                            <w:rFonts w:ascii="Frank Ruhl TB" w:cs="Frank Ruhl TB" w:eastAsia="Frank Ruhl TB" w:hAnsi="Frank Ruhl TB"/>
                            <w:b w:val="false"/>
                            <w:color w:val="2A1F28"/>
                            <w:sz w:val="25"/>
                            <w:szCs w:val="25"/>
                            <w:rtl/>
                          </w:rPr>
                          <w:t xml:space="preserve">וכל שאינו חייב בדבר אינו מוציא את הרבים ידי חובתן</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אבל אינו קורא בתורה – </w:t>
                        </w:r>
                        <w:r>
                          <w:rPr>
                            <w:rFonts w:ascii="Frank Ruhl TB" w:cs="Frank Ruhl TB" w:eastAsia="Frank Ruhl TB" w:hAnsi="Frank Ruhl TB"/>
                            <w:b w:val="false"/>
                            <w:color w:val="2A1F28"/>
                            <w:sz w:val="25"/>
                            <w:szCs w:val="25"/>
                            <w:rtl/>
                          </w:rPr>
                          <w:t xml:space="preserve">מפני כבוד התורה. וכן לפני התיבה וכן לנשיאת כפים, מפני שגנאי הוא לצבור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למה הקטן אינו פורס על שמע? </w:t>
      </w:r>
      <w:r>
        <w:rPr>
          <w:rFonts w:ascii="Rubik MG" w:cs="Rubik MG" w:eastAsia="Rubik MG" w:hAnsi="Rubik MG"/>
          <w:b w:val="false"/>
          <w:color w:val="A69AA2"/>
          <w:sz w:val="24"/>
          <w:szCs w:val="24"/>
          <w:rtl/>
        </w:rPr>
        <w:t xml:space="preserve">‏________ ________ 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למה הפוחח אינו קורא בתורה? </w:t>
      </w:r>
      <w:r>
        <w:rPr>
          <w:rFonts w:ascii="Rubik MG" w:cs="Rubik MG" w:eastAsia="Rubik MG" w:hAnsi="Rubik MG"/>
          <w:b w:val="false"/>
          <w:color w:val="A69AA2"/>
          <w:sz w:val="24"/>
          <w:szCs w:val="24"/>
          <w:rtl/>
        </w:rPr>
        <w:t xml:space="preserve">‏________ ________ ________ ________‏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הסבירו במילים שלכם: הקטן והפוחח לא יכולים לעשות דברים שונים, כי הטעם אצל כל אחד שונה. מה הטעם של כל אחד?</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«סומא פורס את שמע» – אבל רבי יהודה חולק.</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3302"/>
              <w:gridCol w:w="4953"/>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אומר?</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דעתו?</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נימוק/סברה (לפי הברטנורא)</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מהי נקודת המחלוקת? (רמז: הברכה הראשונה של קריאת שמע היא «יוצר המאורות».)</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הברטנורא מסביר שהעיוור נהנה מן האור, כי «בני אדם רואין אותו ומצילין אותו מן המכשולים». איך אנחנו יכולים להיות «המאורות» של מי שזקוק לעזרה?</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הגמרא מספרת על רב יוסף, שהיה עיוור, ששמח כשהבין שהלכה כתנא קמא – כי כך גם הוא יכול לברך «יוצר המאורות».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QQS20QQ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רביעי – הקורא עומד · נשיאת כפיים ושליח הציבור</w:t>
            </w:r>
          </w:p>
          <w:p>
            <w:pPr>
              <w:keepNext/>
              <w:keepLines/>
              <w:bidi/>
              <w:spacing w:after="60" w:before="0" w:line="240" w:lineRule="auto"/>
              <w:jc w:val="both"/>
            </w:pPr>
            <w:r>
              <w:rPr>
                <w:rFonts w:ascii="Suez One" w:cs="Suez One" w:eastAsia="Suez One" w:hAnsi="Suez One"/>
                <w:b w:val="false"/>
                <w:color w:val="5B2245"/>
                <w:sz w:val="51"/>
                <w:szCs w:val="51"/>
                <w:rtl/>
              </w:rPr>
              <w:t xml:space="preserve">נשיאת כפיים ושליח הציבור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להבין מתי כהן אינו נושא את כפיו, ומה הטעם // לזהות מחלוקת בין תנא קמא לרבי יהודה // להבין למה חשדו בשליח ציבור שמתעקש על בגדים מסוימים // לדעת מה צורת התפילין ומקומן לפי חכמים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כֹּהֵן שֶׁיֵּשׁ בְּיָדָיו מוּמִין, לֹא יִשָּא אֶת כַּפָּיו. רַבִּי יְהוּדָה אוֹמֵר: אַף מִי שֶׁהָיוּ יָדָיו צְבוּעוֹת אִסַטִּיס וּפוּאָה, לֹא יִשָּא אֶת כַּפָּיו, מִפְּנֵי שֶׁהָעָם מִסְתַּכְּלִין בּוֹ:</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ז')</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מומין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פגמים בגוף הנראים לעין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צבועות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צבועות בצבע (מפני עבודתו)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אסטיס</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צמח שצובעים בו בצבע כחול</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פואה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שורשים שצובעים בהם בצבע אדום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מסתכלין בו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מביטים בו (ואינם מתרכזים בברכה)</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3302"/>
                    <w:gridCol w:w="4953"/>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אומר?</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דעתו?</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נימוק/סברה</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מהי נקודת המחלוקת? </w:t>
      </w:r>
      <w:r>
        <w:rPr>
          <w:rFonts w:ascii="Rubik MG" w:cs="Rubik MG" w:eastAsia="Rubik MG" w:hAnsi="Rubik MG"/>
          <w:b w:val="false"/>
          <w:color w:val="A69AA2"/>
          <w:sz w:val="24"/>
          <w:szCs w:val="24"/>
          <w:rtl/>
        </w:rPr>
        <w:t xml:space="preserve">‏________ ________ ________ ________ ________ ________‏</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לא ישא את כפיו – </w:t>
                        </w:r>
                        <w:r>
                          <w:rPr>
                            <w:rFonts w:ascii="Frank Ruhl TB" w:cs="Frank Ruhl TB" w:eastAsia="Frank Ruhl TB" w:hAnsi="Frank Ruhl TB"/>
                            <w:b w:val="false"/>
                            <w:color w:val="2A1F28"/>
                            <w:sz w:val="25"/>
                            <w:szCs w:val="25"/>
                            <w:rtl/>
                          </w:rPr>
                          <w:t xml:space="preserve">והמסתכל בכהנים כשנושאים כפיהן עיניו כהות</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פואה – </w:t>
                        </w:r>
                        <w:r>
                          <w:rPr>
                            <w:rFonts w:ascii="Frank Ruhl TB" w:cs="Frank Ruhl TB" w:eastAsia="Frank Ruhl TB" w:hAnsi="Frank Ruhl TB"/>
                            <w:b w:val="false"/>
                            <w:color w:val="2A1F28"/>
                            <w:sz w:val="25"/>
                            <w:szCs w:val="25"/>
                            <w:rtl/>
                          </w:rPr>
                          <w:t xml:space="preserve">ומסיק בגמרא שאם היה דש בעירו, כלומר רגיל עמהם וכולם יודעים במומין שיש בו או בצבע שבידיו או שרוב אנשי העיר מלאכתן בכך מותר, דשוב אין מסתכלים בו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מבאר הברטנורא? מתי כהן עם מום או עם ידיים צבועות כן נושא את כפיו?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העיקרון: הדין תלוי ב</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כשהטעם – «העם מסתכלין בו» – אינו קיים, גם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הָאוֹמֵר אֵינִי עוֹבֵר לִפְנֵי הַתֵּבָה בִּצְבוּעִין, אַף בִּלְבָנִים לֹא יַעֲבֹר. בְּסַנְדָּל אֵינִי עוֹבֵר, אַף יָחֵף לֹא יַעֲבֹר. הָעוֹשֶׂה תְּפִלָּתוֹ עֲגֻלָּה, סַכָּנָה, וְאֵין בָּהּ מִצְוָה. נְתָנָהּ עַל מִצְחוֹ אוֹ עַל פַּס יָדוֹ, הֲרֵי זוֹ דֶּרֶךְ הַמִּינוּת. צִפָּן זָהָב, וּנְתָנָהּ עַל בֵּית אֻנְקְלִי שֶׁלּוֹ, הֲרֵי זוֹ דֶּרֶךְ הַחִיצוֹנִים:</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ח')</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בצבועין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בבגדים צבעוניים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יחף</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בלי נעליים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עגלה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עגולה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פס ידו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כף היד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בית אנקלי</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השרוול, מעל הבגד</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אדם אומר: «איני עובר לפני התבה בצבועין». מה הדין? </w:t>
            </w:r>
            <w:r>
              <w:rPr>
                <w:rFonts w:ascii="Rubik MG" w:cs="Rubik MG" w:eastAsia="Rubik MG" w:hAnsi="Rubik MG"/>
                <w:b w:val="false"/>
                <w:color w:val="A69AA2"/>
                <w:sz w:val="24"/>
                <w:szCs w:val="24"/>
                <w:rtl/>
              </w:rPr>
              <w:t xml:space="preserve">‏________ ________ ________‏</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אף בלבנים לא יעבור – </w:t>
                  </w:r>
                  <w:r>
                    <w:rPr>
                      <w:rFonts w:ascii="Frank Ruhl TB" w:cs="Frank Ruhl TB" w:eastAsia="Frank Ruhl TB" w:hAnsi="Frank Ruhl TB"/>
                      <w:b w:val="false"/>
                      <w:color w:val="2A1F28"/>
                      <w:sz w:val="25"/>
                      <w:szCs w:val="25"/>
                      <w:rtl/>
                    </w:rPr>
                    <w:t xml:space="preserve">חיישינן שמא מינות נזרקה בו, דעובדי ע"ז מקפידין בכך:</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איזה קושי פותר הברטנורא? מה רע באדם שרוצה להתפלל דווקא בבגדים לבנים?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ההבדל? מלאו לפי המשנה והברטנורא: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2830"/>
              <w:gridCol w:w="4246"/>
            </w:tblGrid>
            <w:tr>
              <w:trPr>
                <w:cantSplit/>
                <w:tblHeader/>
              </w:trPr>
              <w:tc>
                <w:tcPr>
                  <w:tcW w:type="dxa" w:w="2830"/>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עשה?</w:t>
                  </w:r>
                </w:p>
              </w:tc>
              <w:tc>
                <w:tcPr>
                  <w:tcW w:type="dxa" w:w="2830"/>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הדין?</w:t>
                  </w:r>
                </w:p>
              </w:tc>
              <w:tc>
                <w:tcPr>
                  <w:tcW w:type="dxa" w:w="424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למה? (ברטנורא)</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עשה תפילין עגולות</w:t>
                  </w:r>
                </w:p>
              </w:tc>
              <w:tc>
                <w:tcPr>
                  <w:tcW w:type="dxa" w:w="2830"/>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24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שם תפילין על מצחו או על כף ידו</w:t>
                  </w:r>
                </w:p>
              </w:tc>
              <w:tc>
                <w:tcPr>
                  <w:tcW w:type="dxa" w:w="2830"/>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24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ציפה תפילין בזהב</w:t>
                  </w:r>
                </w:p>
              </w:tc>
              <w:tc>
                <w:tcPr>
                  <w:tcW w:type="dxa" w:w="2830"/>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24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שם תפילין על השרוול</w:t>
                  </w:r>
                </w:p>
              </w:tc>
              <w:tc>
                <w:tcPr>
                  <w:tcW w:type="dxa" w:w="2830"/>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24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הרי זה דרך מינות – </w:t>
                        </w:r>
                        <w:r>
                          <w:rPr>
                            <w:rFonts w:ascii="Frank Ruhl TB" w:cs="Frank Ruhl TB" w:eastAsia="Frank Ruhl TB" w:hAnsi="Frank Ruhl TB"/>
                            <w:b w:val="false"/>
                            <w:color w:val="2A1F28"/>
                            <w:sz w:val="25"/>
                            <w:szCs w:val="25"/>
                            <w:rtl/>
                          </w:rPr>
                          <w:t xml:space="preserve">וחכמים למדו בגזירה שוה בין עיניך, במקום שער שבראש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לפי הברטנורא, היכן מניחים את תפילין של ראש?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ואת תפילין של יד? </w:t>
      </w:r>
      <w:r>
        <w:rPr>
          <w:rFonts w:ascii="Rubik MG" w:cs="Rubik MG" w:eastAsia="Rubik MG" w:hAnsi="Rubik MG"/>
          <w:b w:val="false"/>
          <w:color w:val="A69AA2"/>
          <w:sz w:val="24"/>
          <w:szCs w:val="24"/>
          <w:rtl/>
        </w:rPr>
        <w:t xml:space="preserve">‏________ ________ ________‏</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ה«מינים» קראו את הפסוק «בין עיניך» כפשוטו, בלי לשמוע לחכמים. מה המשנה מלמדת אותנו על הקשר בין התורה שבכתב לפירוש של חכמים?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«לך לאות, ולא לאחרים לאות» – מה אפשר ללמוד מכאן על עשיית מצוות בצניעות, לא כדי להתהדר?</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4191000" cy="2790825"/>
                    </a:xfrm>
                    <a:prstGeom prst="rect">
                      <a:avLst/>
                    </a:prstGeom>
                  </pic:spPr>
                </pic:pic>
              </a:graphicData>
            </a:graphic>
          </wp:inline>
        </w:drawing>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QQS21QQ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רביעי – הקורא עומד · נוסחים שאין אומרים, ופרשיות שאין מתרגמים</w:t>
            </w:r>
          </w:p>
          <w:p>
            <w:pPr>
              <w:keepNext/>
              <w:keepLines/>
              <w:bidi/>
              <w:spacing w:after="48" w:before="0" w:line="223" w:lineRule="auto"/>
              <w:jc w:val="both"/>
            </w:pPr>
            <w:r>
              <w:rPr>
                <w:rFonts w:ascii="Suez One" w:cs="Suez One" w:eastAsia="Suez One" w:hAnsi="Suez One"/>
                <w:b w:val="false"/>
                <w:color w:val="5B2245"/>
                <w:sz w:val="44"/>
                <w:szCs w:val="44"/>
                <w:rtl/>
              </w:rPr>
              <w:t xml:space="preserve">נוסחים שאין אומרים, ופרשיות שאין מתרגמים</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279" w:lineRule="auto"/>
                          <w:jc w:val="both"/>
                        </w:pPr>
                        <w:r>
                          <w:rPr>
                            <w:rFonts w:ascii="Rubik MG" w:cs="Rubik MG" w:eastAsia="Rubik MG" w:hAnsi="Rubik MG"/>
                            <w:b w:val="false"/>
                            <w:color w:val="2A1F28"/>
                            <w:sz w:val="23"/>
                            <w:szCs w:val="23"/>
                            <w:rtl/>
                          </w:rPr>
                          <w:t xml:space="preserve">לדעת אילו נוסחים בתפילה חכמים אסרו לומר, ולמה // להבין שנוסח התפילה מבטא אמונה נכונה // להכיר את העיקרון: יש פרשיות שקוראים ואין מתרגמים, מפני הכבוד // לזהות שתי מחלוקות בסוף המשנה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בסוף המסכת המשנה עוסקת במילים: איזו מילה בתפילה עלולה לבטא אמונה לא נכונה, ואיזה תרגום עלול לפגוע בכבוד של אדם או של הציבור.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הָאוֹמֵר יְבָרְכוּךָ טוֹבִים, הֲרֵי זוֹ דֶּרֶךְ הַמִּינוּת. עַל קַן צִפּוֹר יַגִּיעוּ רַחֲמֶיךָ, וְעַל טוֹב יִזָּכֵר שְׁמֶךָ, מוֹדִים מוֹדִים, מְשַׁתְּקִין אוֹתוֹ. הַמְּכַנֶּה בָּעֲרָיוֹת, מְשַׁתְּקִין אוֹתוֹ. הָאוֹמֵר, "וּמִזַּרְעֲךָ לֹא תִתֵּן לְהַעֲבִיר לַמֹּלֶךְ" (ויקרא יח, כא): "וּמִזַּרְעָךְ לָא תִתֵּן לְאַעְבָּרָא בַּאֲרַמִּיּוּתָא", מְשַׁתְּקִין אוֹתוֹ בִּנְזִיפָה:</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ד', משנה ט')</w:t>
            </w:r>
          </w:p>
        </w:tc>
      </w:tr>
    </w:tbl>
    <w:p>
      <w:pPr>
        <w:spacing w:after="0" w:before="0" w:line="12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יברכוך טובים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«הטובים יברכו אותך» – כאילו רק הצדיקים מברכים את 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משתקין אותו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מפסיקים את שליח הציבור באמצע התפילה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מודים מודים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אומר «מודים» פעמיים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בנזיפה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בגערה, בדברים קשים</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 ואת הברטנורא</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לכל נוסח שבמשנה יש טעם בברטנורא. קראו והשלימו.</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על קן צפור יגיעו רחמיך – </w:t>
                  </w:r>
                  <w:r>
                    <w:rPr>
                      <w:rFonts w:ascii="Frank Ruhl TB" w:cs="Frank Ruhl TB" w:eastAsia="Frank Ruhl TB" w:hAnsi="Frank Ruhl TB"/>
                      <w:b w:val="false"/>
                      <w:color w:val="2A1F28"/>
                      <w:sz w:val="25"/>
                      <w:szCs w:val="25"/>
                      <w:rtl/>
                    </w:rPr>
                    <w:t xml:space="preserve">משתקין אותו, שעושה מצותיו של הקב"ה רחמים והם אינן אלא גזירות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מה רע בתפילה «על קן צפור יגיעו רחמיך»? </w:t>
      </w:r>
      <w:r>
        <w:rPr>
          <w:rFonts w:ascii="Rubik MG" w:cs="Rubik MG" w:eastAsia="Rubik MG" w:hAnsi="Rubik MG"/>
          <w:b w:val="false"/>
          <w:color w:val="A69AA2"/>
          <w:sz w:val="24"/>
          <w:szCs w:val="24"/>
          <w:rtl/>
        </w:rPr>
        <w:t xml:space="preserve">‏________ ________ ________ ________ ________ ________‏</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ועל טוב יזכר שמך – </w:t>
                  </w:r>
                  <w:r>
                    <w:rPr>
                      <w:rFonts w:ascii="Frank Ruhl TB" w:cs="Frank Ruhl TB" w:eastAsia="Frank Ruhl TB" w:hAnsi="Frank Ruhl TB"/>
                      <w:b w:val="false"/>
                      <w:color w:val="2A1F28"/>
                      <w:sz w:val="25"/>
                      <w:szCs w:val="25"/>
                      <w:rtl/>
                    </w:rPr>
                    <w:t xml:space="preserve">משתקין אותו, שאנו חייבים לברך על הרעה כשם שמברכין על הטובה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רע בתפילה «ועל טוב יזכר שמך»? </w:t>
      </w:r>
      <w:r>
        <w:rPr>
          <w:rFonts w:ascii="Rubik MG" w:cs="Rubik MG" w:eastAsia="Rubik MG" w:hAnsi="Rubik MG"/>
          <w:b w:val="false"/>
          <w:color w:val="A69AA2"/>
          <w:sz w:val="24"/>
          <w:szCs w:val="24"/>
          <w:rtl/>
        </w:rPr>
        <w:t xml:space="preserve">‏________ ________ ________ ________ ________ ________‏</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מודים מודים – </w:t>
                  </w:r>
                  <w:r>
                    <w:rPr>
                      <w:rFonts w:ascii="Frank Ruhl TB" w:cs="Frank Ruhl TB" w:eastAsia="Frank Ruhl TB" w:hAnsi="Frank Ruhl TB"/>
                      <w:b w:val="false"/>
                      <w:color w:val="2A1F28"/>
                      <w:sz w:val="25"/>
                      <w:szCs w:val="25"/>
                      <w:rtl/>
                    </w:rPr>
                    <w:t xml:space="preserve">דמיחזי כשתי רשויות, כמודה ומקבל עליו ב' אלהות: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מה רע ב«מודים מודים»? </w:t>
      </w:r>
      <w:r>
        <w:rPr>
          <w:rFonts w:ascii="Rubik MG" w:cs="Rubik MG" w:eastAsia="Rubik MG" w:hAnsi="Rubik MG"/>
          <w:b w:val="false"/>
          <w:color w:val="A69AA2"/>
          <w:sz w:val="24"/>
          <w:szCs w:val="24"/>
          <w:rtl/>
        </w:rPr>
        <w:t xml:space="preserve">‏________ ________ ________ ________ ________ ________‏</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יברכוך טובים הרי זו דרך מינות – </w:t>
                  </w:r>
                  <w:r>
                    <w:rPr>
                      <w:rFonts w:ascii="Frank Ruhl TB" w:cs="Frank Ruhl TB" w:eastAsia="Frank Ruhl TB" w:hAnsi="Frank Ruhl TB"/>
                      <w:b w:val="false"/>
                      <w:color w:val="2A1F28"/>
                      <w:sz w:val="25"/>
                      <w:szCs w:val="25"/>
                      <w:rtl/>
                    </w:rPr>
                    <w:t xml:space="preserve">שצריכין ישראל לצרף עמהם פושעי ישראל באגודת תעניותיהם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לפי הברטנורא, למה אסור לומר «יברכוך טובים»?</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הנוסח</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מה הבעיה בו?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יברכוך טובים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נראה כאילו יש שתי רשויות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על קן צפור יגיעו רחמיך</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מודה רק על הטוב</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ועל טוב יזכר שמך</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מוציא את החוטאים מן הציבור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מודים מודים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הופך גזירה לרחמים</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בסוף המשנה מדובר גם במי שמתרגם פסוק ומשנה את משמעותו – גם אותו «משתקין אותו בנזיפה», כי אסור לעקור פסוק ממשמעותו.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מַעֲשֵׂה רְאוּבֵן, נִקְרָא וְלֹא מִתַּרְגֵּם. מַעֲשֵׂה תָּמָר, נִקְרָא וּמִתַּרְגֵּם. מַעֲשֵׂה עֵגֶל הָרִאשׁוֹן, נִקְרָא וּמִתַּרְגֵּם; וְהַשֵּׁנִי, נִקְרָא וְלֹא מִתַּרְגֵּם. בִּרְכַּת כֹּהֲנִים, מַעֲשֵׂה דָּוִד וְאַמְנוֹן, לֹא נִקְרָאִין וְלֹא מִתַּרְגְּמִין. אֵין מַפְטִירִין בַּמֶּרְכָּבָה; וְרַבִּי יְהוּדָה מַתִּיר. רַבִּי אֱלִיעֶזֶר אוֹמֵר: אֵין מַפְטִירִין בְּ"הוֹדַע אֶת יְרוּשָׁלַיִם" (יחזקאל טז):</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ד', משנה י')</w:t>
            </w:r>
          </w:p>
        </w:tc>
      </w:tr>
    </w:tbl>
    <w:p>
      <w:pPr>
        <w:spacing w:after="0" w:before="0" w:line="12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בבית הכנסת היו קוראים פסוק בעברית, והמתרגם תרגם לארמית – כדי שכל הציבור יבין. המשנה מלמדת שיש פרשיות שקוראים אבל לא מתרגמים.</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השלימו לפי המשנה: מעשה העגל הראשון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והשני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מעשה עגל הראשון נקרא ומתרגם – </w:t>
                  </w:r>
                  <w:r>
                    <w:rPr>
                      <w:rFonts w:ascii="Frank Ruhl TB" w:cs="Frank Ruhl TB" w:eastAsia="Frank Ruhl TB" w:hAnsi="Frank Ruhl TB"/>
                      <w:b w:val="false"/>
                      <w:color w:val="2A1F28"/>
                      <w:sz w:val="25"/>
                      <w:szCs w:val="25"/>
                      <w:rtl/>
                    </w:rPr>
                    <w:t xml:space="preserve">ולא חיישינן ליקרא דישראל:</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מעשה עגל השני – </w:t>
                  </w:r>
                  <w:r>
                    <w:rPr>
                      <w:rFonts w:ascii="Frank Ruhl TB" w:cs="Frank Ruhl TB" w:eastAsia="Frank Ruhl TB" w:hAnsi="Frank Ruhl TB"/>
                      <w:b w:val="false"/>
                      <w:color w:val="2A1F28"/>
                      <w:sz w:val="25"/>
                      <w:szCs w:val="25"/>
                      <w:rtl/>
                    </w:rPr>
                    <w:t xml:space="preserve">משום יקרא דאהרן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ההבדל בין שני חלקי מעשה העגל? למה אחד מתורגם והשני לא?</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ברכת כהנים – </w:t>
                  </w:r>
                  <w:r>
                    <w:rPr>
                      <w:rFonts w:ascii="Frank Ruhl TB" w:cs="Frank Ruhl TB" w:eastAsia="Frank Ruhl TB" w:hAnsi="Frank Ruhl TB"/>
                      <w:b w:val="false"/>
                      <w:color w:val="2A1F28"/>
                      <w:sz w:val="25"/>
                      <w:szCs w:val="25"/>
                      <w:rtl/>
                    </w:rPr>
                    <w:t xml:space="preserve">משום דאית ביה ישא ה' פניו אליך, שלא יאמרו הקב"ה נושא פנים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לפי הברטנורא, למה לא מתרגמים את ברכת כהנים? </w:t>
      </w:r>
      <w:r>
        <w:rPr>
          <w:rFonts w:ascii="Rubik MG" w:cs="Rubik MG" w:eastAsia="Rubik MG" w:hAnsi="Rubik MG"/>
          <w:b w:val="false"/>
          <w:color w:val="A69AA2"/>
          <w:sz w:val="24"/>
          <w:szCs w:val="24"/>
          <w:rtl/>
        </w:rPr>
        <w:t xml:space="preserve">‏________ ________ ________ ________ ________ ________‏</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3302"/>
                    <w:gridCol w:w="3302"/>
                  </w:tblGrid>
                  <w:tr>
                    <w:trPr>
                      <w:cantSplit/>
                      <w:tblHeader/>
                    </w:trPr>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הנושא</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 אוסר?</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 מתיר? / מה ההלכה?</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להפטיר במרכבה (יחזקאל א)</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להפטיר ב«הודע את ירושלים» (יחזקאל טז)</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מה המשותף לכל הדינים במשנה י? מה הם מלמדים אותנו על הדרך שבה אנחנו מדברים על אחרים?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90"/>
                    <w:left w:type="dxa" w:w="300"/>
                    <w:bottom w:type="dxa" w:w="90"/>
                    <w:right w:type="dxa" w:w="300"/>
                  </w:tcMar>
                </w:tcPr>
                <w:p>
                  <w:pPr>
                    <w:keepNext w:val="false"/>
                    <w:keepLines/>
                    <w:bidi/>
                    <w:spacing w:after="0" w:before="0" w:line="279" w:lineRule="auto"/>
                    <w:jc w:val="center"/>
                  </w:pPr>
                  <w:r>
                    <w:rPr>
                      <w:rFonts w:ascii="Suez One" w:cs="Suez One" w:eastAsia="Suez One" w:hAnsi="Suez One"/>
                      <w:b w:val="false"/>
                      <w:color w:val="5B2245"/>
                      <w:sz w:val="26"/>
                      <w:szCs w:val="26"/>
                      <w:rtl/>
                    </w:rPr>
                    <w:t xml:space="preserve">חכמים הקפידו על כל מילה בתפילה – ועל כבודו של כל אחד.</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QQS22QQ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רביעי – הקורא עומד · חזרה – פרק רביעי</w:t>
            </w:r>
          </w:p>
          <w:p>
            <w:pPr>
              <w:keepNext/>
              <w:keepLines/>
              <w:bidi/>
              <w:spacing w:after="60" w:before="0" w:line="240" w:lineRule="auto"/>
              <w:jc w:val="both"/>
            </w:pPr>
            <w:r>
              <w:rPr>
                <w:rFonts w:ascii="Suez One" w:cs="Suez One" w:eastAsia="Suez One" w:hAnsi="Suez One"/>
                <w:b w:val="false"/>
                <w:color w:val="5B2245"/>
                <w:sz w:val="51"/>
                <w:szCs w:val="51"/>
                <w:rtl/>
              </w:rPr>
              <w:t xml:space="preserve">חזרה – פרק רביעי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המטרות שלי ביחידה</w:t>
                        </w:r>
                      </w:p>
                      <w:p>
                        <w:pPr>
                          <w:keepNext w:val="false"/>
                          <w:keepLines/>
                          <w:bidi/>
                          <w:spacing w:after="0" w:before="0" w:line="300" w:lineRule="auto"/>
                          <w:jc w:val="both"/>
                        </w:pPr>
                        <w:r>
                          <w:rPr>
                            <w:rFonts w:ascii="Rubik MG" w:cs="Rubik MG" w:eastAsia="Rubik MG" w:hAnsi="Rubik MG"/>
                            <w:b w:val="false"/>
                            <w:color w:val="2A1F28"/>
                            <w:sz w:val="23"/>
                            <w:szCs w:val="23"/>
                            <w:rtl/>
                          </w:rPr>
                          <w:t xml:space="preserve">לחזור על כל עשר המשניות של פרק «הקורא עומד» // לקשר כל משנה לנושא שלה // לחזור על המחלוקות בפרק // לסכם את המסכת כולה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 – משנה ונושא</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המשנה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הנושא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א</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פרשיות שקוראים ואין מתרגמים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ב</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נוסחים שמשתקים את האומר אותם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ג</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כהן שיש בידיו מומין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ד</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קטן, פוחח וסומא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דברים שאין עושים בפחות מעשרה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ו</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קריאת המגילה, ושלושה עולים בחול</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ז</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שליח ציבור וצורת התפילין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ח</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המפטיר בנביא הוא פורס על שמע</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ט</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ארבעה, חמישה, שישה ושבעה עולים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י</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מספר הפסוקים ודילוג בתורה ובנביא</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טבלת סיכום – מספר העולים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1651"/>
                    <w:gridCol w:w="1651"/>
                    <w:gridCol w:w="3302"/>
                  </w:tblGrid>
                  <w:tr>
                    <w:trPr>
                      <w:cantSplit/>
                      <w:tblHeader/>
                    </w:trPr>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היום</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עולים</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הפטרה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הטעם (ברטנורא)</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שני, חמישי, שבת במנחה</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ראש חודש, חול המועד</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טוב</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הכיפורים</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 אמר?</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בפרק שלוש מחלוקות של רבי יהודה ואחת של רבי אליעזר. כתבו מי אמר כל דעה: תנא קמא / רבי יהודה / רבי אליעזר.</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04"/>
              <w:gridCol w:w="3302"/>
            </w:tblGrid>
            <w:tr>
              <w:trPr>
                <w:cantSplit/>
                <w:tblHeader/>
              </w:trPr>
              <w:tc>
                <w:tcPr>
                  <w:tcW w:type="dxa" w:w="660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הדעה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סומא פורס את שמע</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כל שלא ראה מאורות מימיו, אינו פורס על שמע</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שידיו צבועות אסטיס ופואה לא ישא את כפיו</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מותר להפטיר במרכבה</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אין מפטירין ב«הודע את ירושלים»</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03"/>
                    <w:gridCol w:w="1101"/>
                    <w:gridCol w:w="4402"/>
                  </w:tblGrid>
                  <w:tr>
                    <w:trPr>
                      <w:cantSplit/>
                      <w:tblHeader/>
                    </w:trPr>
                    <w:tc>
                      <w:tcPr>
                        <w:tcW w:type="dxa" w:w="44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11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44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שקורא את המגילה חייב לעמוד.</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4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ביום טוב אפשר להוסיף על חמשת העולים.</w:t>
                        </w:r>
                      </w:p>
                    </w:tc>
                    <w:tc>
                      <w:tcPr>
                        <w:tcW w:type="dxa" w:w="11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4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קטן רשאי לעבור לפני התיבה.</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4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תפילין עגולות כשרות למצוה.</w:t>
                        </w:r>
                      </w:p>
                    </w:tc>
                    <w:tc>
                      <w:tcPr>
                        <w:tcW w:type="dxa" w:w="11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4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מדלגין בנביא, ואין מדלגין בתורה.</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44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24"/>
                      <w:szCs w:val="24"/>
                      <w:rtl/>
                    </w:rPr>
                    <w:t xml:space="preserve">עשרה   ·   פסוק אחד   ·   שלשה   ·   מוסף   ·   אביו או רבו   ·   משתקין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כל דבר שבקדושה אין עושים פחות מ</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בתורה קוראים למתרגם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ובנביא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כל שיש בו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ואינו יום טוב, קורין ארבעה.</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אם המפטיר היה קטן,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עוברין על ידו.</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האומר «מודים מודים»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אותו.</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 – סיכום המסכת</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משרד החינוך מדגיש שמסכת מגילה איננה רק על פורים. כתבו שלושה נושאים שלמדנו במסכת, מלבד קריאת המגילה.</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איזה דין מן הפרק הרביעי הכי משמעותי בעיניכם לחיים שלכם בבית הכנסת? הסבירו.</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כתוב במשפט אחד את הדבר החשוב ביותר שלמדת ביחידה:</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90"/>
                    <w:left w:type="dxa" w:w="300"/>
                    <w:bottom w:type="dxa" w:w="90"/>
                    <w:right w:type="dxa" w:w="300"/>
                  </w:tcMar>
                </w:tcPr>
                <w:p>
                  <w:pPr>
                    <w:keepNext w:val="false"/>
                    <w:keepLines/>
                    <w:bidi/>
                    <w:spacing w:after="0" w:before="0" w:line="300" w:lineRule="auto"/>
                    <w:jc w:val="center"/>
                  </w:pPr>
                  <w:r>
                    <w:rPr>
                      <w:rFonts w:ascii="Suez One" w:cs="Suez One" w:eastAsia="Suez One" w:hAnsi="Suez One"/>
                      <w:b w:val="false"/>
                      <w:color w:val="5B2245"/>
                      <w:sz w:val="26"/>
                      <w:szCs w:val="26"/>
                      <w:rtl/>
                    </w:rPr>
                    <w:t xml:space="preserve">הדרן עלך פרק הקורא עומד – וסליקא לה מסכת מגילה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ectPr>
          <w:headerReference w:type="default" r:id="rId26"/>
          <w:footerReference w:type="default" r:id="rId27"/>
          <w:pgSz w:w="11906" w:h="16838" w:orient="portrait"/>
          <w:pgMar w:top="1380" w:right="1000" w:bottom="1150" w:left="1000" w:header="330" w:footer="420" w:gutter="0"/>
          <w:pgNumType/>
          <w:docGrid w:linePitch="360"/>
        </w:sectPr>
      </w:pPr>
    </w:p>
    <w:p>
      <w:pPr>
        <w:spacing w:after="0" w:before="0" w:line="6800" w:lineRule="exact"/>
      </w:pPr>
      <w:r>
        <w:rPr>
          <w:rFonts w:ascii="Rubik MG" w:cs="Rubik MG" w:eastAsia="Rubik MG" w:hAnsi="Rubik MG"/>
          <w:b w:val="false"/>
          <w:color w:val="2A1F28"/>
          <w:sz w:val="8"/>
          <w:szCs w:val="8"/>
          <w:rtl/>
        </w:rPr>
        <w:t xml:space="preserve"> </w:t>
      </w:r>
    </w:p>
    <w:p>
      <w:pPr>
        <w:keepNext w:val="false"/>
        <w:keepLines/>
        <w:bidi/>
        <w:spacing w:after="20" w:before="0" w:line="300" w:lineRule="auto"/>
        <w:jc w:val="center"/>
      </w:pPr>
      <w:r>
        <w:rPr>
          <w:rFonts w:ascii="Suez One" w:cs="Suez One" w:eastAsia="Suez One" w:hAnsi="Suez One"/>
          <w:b w:val="false"/>
          <w:color w:val="FFFFFF"/>
          <w:sz w:val="60"/>
          <w:szCs w:val="60"/>
          <w:rtl/>
        </w:rPr>
        <w:t xml:space="preserve">מסכת מגילה</w:t>
      </w:r>
    </w:p>
    <w:p>
      <w:pPr>
        <w:keepNext w:val="false"/>
        <w:keepLines/>
        <w:bidi/>
        <w:spacing w:after="60" w:before="0" w:line="300" w:lineRule="auto"/>
        <w:jc w:val="center"/>
      </w:pPr>
      <w:r>
        <w:rPr>
          <w:rFonts w:ascii="Rubik Medium MG" w:cs="Rubik Medium MG" w:eastAsia="Rubik Medium MG" w:hAnsi="Rubik Medium MG"/>
          <w:b w:val="false"/>
          <w:color w:val="F5CF8A"/>
          <w:sz w:val="26"/>
          <w:szCs w:val="26"/>
          <w:rtl/>
        </w:rPr>
        <w:t xml:space="preserve">כיתה ז' · חוברת עבודה</w:t>
      </w:r>
    </w:p>
    <w:p>
      <w:pPr>
        <w:keepNext w:val="false"/>
        <w:bidi/>
        <w:spacing w:after="240" w:before="0"/>
        <w:jc w:val="center"/>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20" w:before="0" w:line="300" w:lineRule="auto"/>
        <w:jc w:val="center"/>
      </w:pPr>
      <w:r>
        <w:rPr>
          <w:rFonts w:ascii="Rubik Bold MG" w:cs="Rubik Bold MG" w:eastAsia="Rubik Bold MG" w:hAnsi="Rubik Bold MG"/>
          <w:b w:val="false"/>
          <w:color w:val="FFFFFF"/>
          <w:sz w:val="28"/>
          <w:szCs w:val="28"/>
          <w:rtl/>
        </w:rPr>
        <w:t xml:space="preserve">בחוברת:</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00"/>
        <w:gridCol w:w="1600"/>
        <w:gridCol w:w="1600"/>
        <w:gridCol w:w="1600"/>
        <w:gridCol w:w="1600"/>
      </w:tblGrid>
      <w:tr>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לשון המשנה</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מילון המשנה</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תרשים כאמד"ט</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עיון בברטנורא</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המשנה בחיינו</w:t>
            </w:r>
          </w:p>
        </w:tc>
      </w:tr>
    </w:tbl>
    <w:p>
      <w:pPr>
        <w:spacing w:after="0" w:before="0" w:line="42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BF6EA" w:color="auto" w:val="clear"/>
            <w:tcMar>
              <w:top w:type="dxa" w:w="220"/>
              <w:left w:type="dxa" w:w="300"/>
              <w:bottom w:type="dxa" w:w="200"/>
              <w:right w:type="dxa" w:w="300"/>
            </w:tcMar>
          </w:tcPr>
          <w:p>
            <w:pPr>
              <w:keepNext w:val="false"/>
              <w:keepLines/>
              <w:bidi/>
              <w:spacing w:after="40" w:before="0" w:line="300" w:lineRule="auto"/>
              <w:jc w:val="center"/>
            </w:pPr>
            <w:r>
              <w:rPr>
                <w:rFonts w:ascii="Frank Ruhl TB Bold" w:cs="Frank Ruhl TB Bold" w:eastAsia="Frank Ruhl TB Bold" w:hAnsi="Frank Ruhl TB Bold"/>
                <w:b w:val="false"/>
                <w:color w:val="5B2245"/>
                <w:sz w:val="38"/>
                <w:szCs w:val="38"/>
                <w:rtl/>
              </w:rPr>
              <w:t xml:space="preserve">הֲדְרָן עֲלָךְ מַסֶּכֶת מְגִלָּה</w:t>
            </w:r>
          </w:p>
          <w:p>
            <w:pPr>
              <w:keepNext w:val="false"/>
              <w:keepLines/>
              <w:bidi/>
              <w:spacing w:after="0" w:before="0" w:line="300" w:lineRule="auto"/>
              <w:jc w:val="center"/>
            </w:pPr>
            <w:r>
              <w:rPr>
                <w:rFonts w:ascii="Rubik Medium MG" w:cs="Rubik Medium MG" w:eastAsia="Rubik Medium MG" w:hAnsi="Rubik Medium MG"/>
                <w:b w:val="false"/>
                <w:color w:val="A3541C"/>
                <w:sz w:val="22"/>
                <w:szCs w:val="22"/>
                <w:rtl/>
              </w:rPr>
              <w:t xml:space="preserve">וְהַדְרָךְ עֲלָן, דַּעְתָּן עֲלָךְ וְדַעְתָּךְ עֲלָן</w:t>
            </w:r>
          </w:p>
        </w:tc>
      </w:tr>
    </w:tbl>
    <w:sectPr>
      <w:headerReference w:type="default" r:id="rId28"/>
      <w:footerReference w:type="default" r:id="rId29"/>
      <w:pgSz w:w="11906" w:h="16838" w:orient="portrait"/>
      <w:pgMar w:top="700" w:right="1000" w:bottom="900" w:left="1000" w:header="300" w:footer="5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ubik MG">
    <w:charset w:val="00"/>
    <w:family w:val="auto"/>
    <w:pitch w:val="variable"/>
    <w:sig w:usb0="E0002AFF" w:usb1="C000247B" w:usb2="00000009" w:usb3="00000000" w:csb0="000001FF" w:csb1="00000000"/>
    <w:embedRegular r:id="rId1" w:fontKey="{f50c5fdf-742f-f55b-2957-f75d85898370}"/>
  </w:font>
  <w:font w:name="Suez One">
    <w:charset w:val="00"/>
    <w:family w:val="auto"/>
    <w:pitch w:val="variable"/>
    <w:sig w:usb0="E0002AFF" w:usb1="C000247B" w:usb2="00000009" w:usb3="00000000" w:csb0="000001FF" w:csb1="00000000"/>
    <w:embedRegular r:id="rId2" w:fontKey="{73288762-1e29-fa74-a194-1e28d5fd7713}"/>
  </w:font>
  <w:font w:name="Rubik Bold MG">
    <w:charset w:val="00"/>
    <w:family w:val="auto"/>
    <w:pitch w:val="variable"/>
    <w:sig w:usb0="E0002AFF" w:usb1="C000247B" w:usb2="00000009" w:usb3="00000000" w:csb0="000001FF" w:csb1="00000000"/>
    <w:embedRegular r:id="rId3" w:fontKey="{d43f44a2-5339-359e-c32e-7e9a031a2d05}"/>
  </w:font>
  <w:font w:name="Rubik Medium MG">
    <w:charset w:val="00"/>
    <w:family w:val="auto"/>
    <w:pitch w:val="variable"/>
    <w:sig w:usb0="E0002AFF" w:usb1="C000247B" w:usb2="00000009" w:usb3="00000000" w:csb0="000001FF" w:csb1="00000000"/>
    <w:embedRegular r:id="rId4" w:fontKey="{0ff8aa6e-f67d-6f3b-fddb-355c2d0f0127}"/>
  </w:font>
  <w:font w:name="Frank Ruhl TB">
    <w:charset w:val="00"/>
    <w:family w:val="auto"/>
    <w:pitch w:val="variable"/>
    <w:sig w:usb0="E0002AFF" w:usb1="C000247B" w:usb2="00000009" w:usb3="00000000" w:csb0="000001FF" w:csb1="00000000"/>
    <w:embedRegular r:id="rId5" w:fontKey="{0ea33a05-03c1-ba97-ab09-ce4391085ff6}"/>
  </w:font>
  <w:font w:name="Frank Ruhl TB Bold">
    <w:charset w:val="00"/>
    <w:family w:val="auto"/>
    <w:pitch w:val="variable"/>
    <w:sig w:usb0="E0002AFF" w:usb1="C000247B" w:usb2="00000009" w:usb3="00000000" w:csb0="000001FF" w:csb1="00000000"/>
    <w:embedRegular r:id="rId6" w:fontKey="{1a881b7d-637d-ec8b-03a3-c385ccc6b55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before="0"/>
      <w:jc w:val="center"/>
    </w:pPr>
    <w:r>
      <w:rPr>
        <w:rFonts w:ascii="Suez One" w:cs="Suez One" w:eastAsia="Suez One" w:hAnsi="Suez One"/>
        <w:b w:val="false"/>
        <w:color w:val="F5CF8A"/>
        <w:sz w:val="23"/>
        <w:szCs w:val="23"/>
        <w:rtl/>
      </w:rPr>
      <w:t xml:space="preserve">מסכת מגילה</w:t>
    </w:r>
    <w:r>
      <w:rPr>
        <w:rFonts w:ascii="Rubik MG" w:cs="Rubik MG" w:eastAsia="Rubik MG" w:hAnsi="Rubik MG"/>
        <w:b w:val="false"/>
        <w:color w:val="D6E0EE"/>
        <w:sz w:val="22"/>
        <w:szCs w:val="22"/>
        <w:rtl/>
      </w:rPr>
      <w:t xml:space="preserve">   ·   חוברת עבודה</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מבוא</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תוכן העניינים</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פרק ראשון – מגילה נקראת</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279" w:lineRule="auto"/>
            <w:jc w:val="both"/>
          </w:pPr>
          <w:r>
            <w:rPr>
              <w:rFonts w:ascii="Rubik Medium MG" w:cs="Rubik Medium MG" w:eastAsia="Rubik Medium MG" w:hAnsi="Rubik Medium MG"/>
              <w:b w:val="false"/>
              <w:color w:val="F5CF8A"/>
              <w:sz w:val="21"/>
              <w:szCs w:val="21"/>
              <w:rtl/>
            </w:rPr>
            <w:t xml:space="preserve">פרק ראשון – מגילה נקראת · משניות א–יא</w:t>
          </w:r>
        </w:p>
      </w:tc>
    </w:tr>
  </w:tbl>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279" w:lineRule="auto"/>
            <w:jc w:val="both"/>
          </w:pPr>
          <w:r>
            <w:rPr>
              <w:rFonts w:ascii="Rubik Medium MG" w:cs="Rubik Medium MG" w:eastAsia="Rubik Medium MG" w:hAnsi="Rubik Medium MG"/>
              <w:b w:val="false"/>
              <w:color w:val="F5CF8A"/>
              <w:sz w:val="21"/>
              <w:szCs w:val="21"/>
              <w:rtl/>
            </w:rPr>
            <w:t xml:space="preserve">פרק שני – הקורא למפרע</w:t>
          </w:r>
        </w:p>
      </w:tc>
    </w:tr>
  </w:tbl>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פרק שני – הקורא למפרע · משניות א–ו</w:t>
          </w:r>
        </w:p>
      </w:tc>
    </w:tr>
  </w:tbl>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פרק שלישי – בני העיר</w:t>
          </w:r>
        </w:p>
      </w:tc>
    </w:tr>
  </w:tbl>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279" w:lineRule="auto"/>
            <w:jc w:val="both"/>
          </w:pPr>
          <w:r>
            <w:rPr>
              <w:rFonts w:ascii="Rubik Medium MG" w:cs="Rubik Medium MG" w:eastAsia="Rubik Medium MG" w:hAnsi="Rubik Medium MG"/>
              <w:b w:val="false"/>
              <w:color w:val="F5CF8A"/>
              <w:sz w:val="21"/>
              <w:szCs w:val="21"/>
              <w:rtl/>
            </w:rPr>
            <w:t xml:space="preserve">פרק שלישי – בני העיר · משניות א–ו</w:t>
          </w:r>
        </w:p>
      </w:tc>
    </w:tr>
  </w:tbl>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279" w:lineRule="auto"/>
            <w:jc w:val="both"/>
          </w:pPr>
          <w:r>
            <w:rPr>
              <w:rFonts w:ascii="Rubik Medium MG" w:cs="Rubik Medium MG" w:eastAsia="Rubik Medium MG" w:hAnsi="Rubik Medium MG"/>
              <w:b w:val="false"/>
              <w:color w:val="F5CF8A"/>
              <w:sz w:val="21"/>
              <w:szCs w:val="21"/>
              <w:rtl/>
            </w:rPr>
            <w:t xml:space="preserve">פרק רביעי – הקורא עומד</w:t>
          </w:r>
        </w:p>
      </w:tc>
    </w:tr>
  </w:tbl>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חוברת עבודה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פרק רביעי – הקורא עומד · משניות א–י</w:t>
          </w:r>
        </w:p>
      </w:tc>
    </w:tr>
  </w:tbl>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MG" w:cs="Rubik MG" w:hAnsi="Rubik MG"/>
        <w:color w:val="2A1F28"/>
        <w:sz w:val="25"/>
        <w:szCs w:val="25"/>
        <w:rtl/>
      </w:rPr>
    </w:rPrDefault>
    <w:pPrDefault>
      <w:pPr>
        <w:bidi/>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header" Target="header6.xml"/><Relationship Id="rId17" Type="http://schemas.openxmlformats.org/officeDocument/2006/relationships/footer" Target="footer5.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header" Target="header8.xml"/><Relationship Id="rId21" Type="http://schemas.openxmlformats.org/officeDocument/2006/relationships/footer" Target="footer7.xml"/><Relationship Id="rId22" Type="http://schemas.openxmlformats.org/officeDocument/2006/relationships/header" Target="header9.xml"/><Relationship Id="rId23" Type="http://schemas.openxmlformats.org/officeDocument/2006/relationships/footer" Target="footer8.xml"/><Relationship Id="rId24" Type="http://schemas.openxmlformats.org/officeDocument/2006/relationships/header" Target="header10.xml"/><Relationship Id="rId25" Type="http://schemas.openxmlformats.org/officeDocument/2006/relationships/footer" Target="footer9.xml"/><Relationship Id="rId26" Type="http://schemas.openxmlformats.org/officeDocument/2006/relationships/header" Target="header11.xml"/><Relationship Id="rId27" Type="http://schemas.openxmlformats.org/officeDocument/2006/relationships/footer" Target="footer10.xml"/><Relationship Id="rId28" Type="http://schemas.openxmlformats.org/officeDocument/2006/relationships/header" Target="header12.xml"/><Relationship Id="rId29" Type="http://schemas.openxmlformats.org/officeDocument/2006/relationships/footer" Target="footer11.xml"/><Relationship Id="rId30" Type="http://schemas.openxmlformats.org/officeDocument/2006/relationships/image" Target="media/983c6e60f424ea5bfadbb0c1033ab03008ff6c85.png"/><Relationship Id="rId31" Type="http://schemas.openxmlformats.org/officeDocument/2006/relationships/image" Target="media/2fea3d8dc662858d4460d284f6f5a04e8d1b37b4.png"/><Relationship Id="rId32" Type="http://schemas.openxmlformats.org/officeDocument/2006/relationships/image" Target="media/33436656f45836a125d98517f86a239747e5fd79.png"/><Relationship Id="rId33" Type="http://schemas.openxmlformats.org/officeDocument/2006/relationships/image" Target="media/6ad6b8d31549ecb22cffc0933f243384f1958477.png"/><Relationship Id="rId34" Type="http://schemas.openxmlformats.org/officeDocument/2006/relationships/image" Target="media/0868d549892d2f82fabbc7367b7a085fac336ea7.jpg"/><Relationship Id="rId35" Type="http://schemas.openxmlformats.org/officeDocument/2006/relationships/image" Target="media/be6ca06165add472456c5a1499dbd86126061861.png"/><Relationship Id="rId36" Type="http://schemas.openxmlformats.org/officeDocument/2006/relationships/image" Target="media/5eaf52b9b26bf3e4a8f3b82af5d4a5597fa65e2f.png"/><Relationship Id="rId37" Type="http://schemas.openxmlformats.org/officeDocument/2006/relationships/image" Target="media/74ad6ad806bbafdfb24a0832bd945d24c1ce4540.png"/><Relationship Id="rId38" Type="http://schemas.openxmlformats.org/officeDocument/2006/relationships/image" Target="media/78c63c7f22c8e8e8f315e64fbaae29a2db810581.png"/><Relationship Id="rId39" Type="http://schemas.openxmlformats.org/officeDocument/2006/relationships/image" Target="media/443a7023b8aff9e421c61b718f109458ae6c71d6.png"/><Relationship Id="rId40" Type="http://schemas.openxmlformats.org/officeDocument/2006/relationships/image" Target="media/c77fd8b54f292242cbbad9c29fde3d53830708c1.png"/><Relationship Id="rId41" Type="http://schemas.openxmlformats.org/officeDocument/2006/relationships/image" Target="media/095d28306e7f0ad52576dd631cedf1af06ccfe4b.jpg"/><Relationship Id="rId42" Type="http://schemas.openxmlformats.org/officeDocument/2006/relationships/image" Target="media/04e1d107950a7b1d4767e168d1644ccfbe30cf4e.png"/><Relationship Id="rId43" Type="http://schemas.openxmlformats.org/officeDocument/2006/relationships/image" Target="media/5e37d74bfd88ffbc0f7f41bf0785a3be32ac444f.png"/><Relationship Id="rId44" Type="http://schemas.openxmlformats.org/officeDocument/2006/relationships/image" Target="media/a272f67d02e23e1866b47c4fe44344864255b315.png"/><Relationship Id="rId45" Type="http://schemas.openxmlformats.org/officeDocument/2006/relationships/image" Target="media/3a9c92a956167c1b35926fbb36c75ef51df9edcd.jpg"/><Relationship Id="rId46" Type="http://schemas.openxmlformats.org/officeDocument/2006/relationships/image" Target="media/286578c0492e86927821787b69aea079183328f9.png"/><Relationship Id="rId47" Type="http://schemas.openxmlformats.org/officeDocument/2006/relationships/image" Target="media/5c9730f7897575879e371ff6f107592a28dc1d37.png"/><Relationship Id="rId48" Type="http://schemas.openxmlformats.org/officeDocument/2006/relationships/image" Target="media/85b2965de7ba8fb47672f562bfdcdc9ee22b5a88.jpg"/><Relationship Id="rId49" Type="http://schemas.openxmlformats.org/officeDocument/2006/relationships/image" Target="media/e525b1051d63dcc032560fdb571e5e0ef6645a9f.jpg"/><Relationship Id="rId50" Type="http://schemas.openxmlformats.org/officeDocument/2006/relationships/image" Target="media/2ea35fa7d287cff5873634f10b64d85b627e4bbb.png"/><Relationship Id="rId51" Type="http://schemas.openxmlformats.org/officeDocument/2006/relationships/image" Target="media/59ce5fcb403ab599bb159622568eccc0a71440f1.jpg"/><Relationship Id="rId52" Type="http://schemas.openxmlformats.org/officeDocument/2006/relationships/image" Target="media/802777fc89546a548594e98c64e66884a5eb5891.jpg"/><Relationship Id="rId53" Type="http://schemas.openxmlformats.org/officeDocument/2006/relationships/image" Target="media/72d914068482dcfb3095009fab5ffa2818db7f77.jpg"/><Relationship Id="rId54" Type="http://schemas.openxmlformats.org/officeDocument/2006/relationships/image" Target="media/1613ac022aa50de96bc9c75fa79ce94a4e79a011.jpg"/><Relationship Id="rId55" Type="http://schemas.openxmlformats.org/officeDocument/2006/relationships/image" Target="media/20b60a990806b204952f0c2ccb99d94021cf80dc.jpg"/><Relationship Id="rId56" Type="http://schemas.openxmlformats.org/officeDocument/2006/relationships/image" Target="media/2f7eb04171155b5807893b14d5cb3b0a46ab0864.jpg"/><Relationship Id="rId57" Type="http://schemas.openxmlformats.org/officeDocument/2006/relationships/image" Target="media/ea6696888c657ab81006885bbd0ceac7009a1cd9.jpg"/><Relationship Id="rId58" Type="http://schemas.openxmlformats.org/officeDocument/2006/relationships/image" Target="media/8545b865ad244c6a20b64e39744a4ef92349ce8d.jpg"/><Relationship Id="rId59" Type="http://schemas.openxmlformats.org/officeDocument/2006/relationships/image" Target="media/70268935c5f320855cdfb2e36be5e1094563bbac.jpg"/><Relationship Id="rId60" Type="http://schemas.openxmlformats.org/officeDocument/2006/relationships/image" Target="media/0f8e02410a6a0a0e21745815488ed68d0aa00551.jpg"/><Relationship Id="rId61" Type="http://schemas.openxmlformats.org/officeDocument/2006/relationships/image" Target="media/af0017f76b5f84a26f951a57c14ee2e5b283927c.jpg"/><Relationship Id="rId62" Type="http://schemas.openxmlformats.org/officeDocument/2006/relationships/image" Target="media/cef7e0baf7673f6d5e81e29f7c99faa06378e031.jpg"/><Relationship Id="rId63" Type="http://schemas.openxmlformats.org/officeDocument/2006/relationships/image" Target="media/2e3b7caf2e544035f636fe949d4f5e4e18194ed7.jpg"/><Relationship Id="rId64" Type="http://schemas.openxmlformats.org/officeDocument/2006/relationships/image" Target="media/41e393c96fa2ed7bb75ad828fe5c8a227b46fc40.jp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7c3d812622c0cdfa3380ba0eb64f9a72d7e12c0.jpg"/></Relationships>
</file>

<file path=word/_rels/header2.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3.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4.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5.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6.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7.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8.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9.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0.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1.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2.xml.rels><?xml version="1.0" encoding="UTF-8"?><Relationships xmlns="http://schemas.openxmlformats.org/package/2006/relationships"><Relationship Id="rId0" Type="http://schemas.openxmlformats.org/officeDocument/2006/relationships/image" Target="media/d7a910f395dafe263fecea5025cf4e8a2bb6aab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מסכת מגילה – חוברת עבודה</dc:title>
  <cp:revision>1</cp:revision>
  <dcterms:created xsi:type="dcterms:W3CDTF">2026-10-23T04:23:35.766Z</dcterms:created>
  <dcterms:modified xsi:type="dcterms:W3CDTF">2026-10-23T04:23:35.766Z</dcterms:modified>
</cp:coreProperties>
</file>

<file path=docProps/custom.xml><?xml version="1.0" encoding="utf-8"?>
<Properties xmlns="http://schemas.openxmlformats.org/officeDocument/2006/custom-properties" xmlns:vt="http://schemas.openxmlformats.org/officeDocument/2006/docPropsVTypes"/>
</file>