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28"/>
          <w:szCs w:val="12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ז' · דפי עבודה – מחוון</w:t>
      </w:r>
    </w:p>
    <w:p>
      <w:pPr>
        <w:spacing w:after="0" w:before="0" w:line="80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4"/>
                <w:szCs w:val="34"/>
                <w:rtl/>
              </w:rPr>
              <w:t xml:space="preserve">לַיְּהוּדִים הָיְתָה אוֹרָה וְשִׂמְחָה וְשָׂשֹׂן וִיקָר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(אסתר ח, טז)</w:t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4"/>
          <w:szCs w:val="24"/>
          <w:rtl/>
        </w:rPr>
        <w:t xml:space="preserve">מסכת מגילה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51"/>
          <w:szCs w:val="51"/>
          <w:rtl/>
        </w:rPr>
        <w:t xml:space="preserve">תוכן העניינים</w:t>
      </w:r>
    </w:p>
    <w:p>
      <w:pPr>
        <w:keepNext/>
        <w:bidi/>
        <w:spacing w:after="24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06"/>
        <w:gridCol w:w="1300"/>
      </w:tblGrid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ראשון – מגילה נקראת  ·  משניות א–יא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מתי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יום הכניסה – כיצד?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עיר גדולה ושנה מעוברת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שבת, יום טוב ונדרים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טומאה וטהרה, ספרים ותפילין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אין בין – כהן גדול, במות, שילה וירושלים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שני – הקורא למפרע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איך קוראים את המגילה?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בן עיר ובן כרך · מי כשר לקרוא?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כל היום כשר, כל הלילה כשר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שלישי – בני העיר  ·  משניות א–ו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קדושת בית הכנסת – מכירה וקנייה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כבוד בית הכנסת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17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ארבע פרשיות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18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קריאת התורה במועדים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19</w:t>
            </w:r>
          </w:p>
        </w:tc>
      </w:tr>
      <w:tr>
        <w:trPr>
          <w:cantSplit/>
        </w:trPr>
        <w:tc>
          <w:tcPr>
            <w:tcW w:type="dxa" w:w="8606"/>
            <w:tcBorders>
              <w:top w:val="single" w:color="5B2245" w:sz="4"/>
              <w:left w:val="single" w:color="5B2245" w:sz="4"/>
              <w:bottom w:val="single" w:color="5B2245" w:sz="4"/>
              <w:right w:val="single" w:color="5B2245" w:sz="4"/>
            </w:tcBorders>
            <w:shd w:fill="5B2245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FFFFFF"/>
                <w:sz w:val="25"/>
                <w:szCs w:val="25"/>
                <w:rtl/>
              </w:rPr>
              <w:t xml:space="preserve">פרק רביעי – הקורא עומד  ·  משניות א–י</w:t>
            </w:r>
          </w:p>
        </w:tc>
        <w:tc>
          <w:tcPr>
            <w:tcW w:type="dxa" w:w="1300"/>
            <w:tcBorders>
              <w:top w:val="single" w:color="1D6A66" w:sz="4"/>
              <w:left w:val="single" w:color="1D6A66" w:sz="4"/>
              <w:bottom w:val="single" w:color="1D6A66" w:sz="4"/>
              <w:right w:val="single" w:color="1D6A66" w:sz="4"/>
            </w:tcBorders>
            <w:shd w:fill="1D6A66" w:color="auto" w:val="clear"/>
            <w:tcMar>
              <w:top w:type="dxa" w:w="95"/>
              <w:left w:type="dxa" w:w="110"/>
              <w:bottom w:type="dxa" w:w="95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כמה עולים לתורה?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דברים שבקדושה וסדר הקריאה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22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המפטיר והקטן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23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נשיאת כפיים ושליח הציבור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24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נוסחים שאין אומרים, ופרשיות שאין מתרגמים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25</w:t>
            </w:r>
          </w:p>
        </w:tc>
      </w:tr>
      <w:tr>
        <w:trPr>
          <w:cantSplit/>
        </w:trPr>
        <w:tc>
          <w:tcPr>
            <w:tcW w:type="dxa" w:w="8606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24"/>
                <w:szCs w:val="24"/>
                <w:rtl/>
              </w:rPr>
              <w:t xml:space="preserve">חזרה – פרק רביעי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dotted" w:color="D08A2E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4"/>
                <w:szCs w:val="24"/>
                <w:rtl/>
              </w:rPr>
              <w:t xml:space="preserve">26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bidi/>
        <w:spacing w:after="60" w:before="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ראשון – מגילה נקראת · משניות א–יא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מתי קוראים את המגילה?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א: «מְגִלָּה נִקְרֵאת בְּאַחַד עָשָׂר, בִּשְׁנֵים עָשָׂר, בִּשְׁלֹשָׁה עָשָׂר, בְּאַרְבָּעָה עָשָׂר, בַּחֲמִשָּׁה עָשָׂר; לֹא פָּחוֹת וְלֹא יוֹתֵר».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קבעו לכל מקרה מתי קוראים, לפי המשנה והברטנורא, ונמקו בקצרה.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יואב גר בעיר שהייתה מוקפת חומה בימי יְהוֹשֻׁעַ בן נון. היום אין בה חומה. מתי קוראים בעירו?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בט"ו באדר. הברטנורא: הכרכים המוקפים חומה מימות יְהוֹשֻׁעַ קוראים בט"ו אף על פי שאין להם חומה עכשיו.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העיר של אליהו הוקפה חומה בימי מרדכי ואסתר, אבל לא בימי יְהוֹשֻׁעַ. מתי קוראים בה?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בי"ד באדר – הדין תלוי בחומה מימות יְהוֹשֻׁעַ, ולעיר הזאת לא הייתה חומה אז.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כפר אחד רצו לקרוא את המגילה בעשרה באדר, כי באותו יום באו לעיר. האם מותר?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לא. המשנה אומרת «לא פחות» – אין קוראים לפני י"א באדר.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קהילה שכחה לקרוא בי"ד, ורצתה לקרוא בט"ז באדר. מה תאמרו לה לפי המשנה?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המשנה אומרת «ולא יותר» – אין קוראים אחרי ט"ו (והברטנורא מביא את הפסוק «ולא יעבור»).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ממיינים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ליד כל יישוב: כרך / עיר גדולה / כפר, ומתי קוראים בו (בזמן המשנה).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651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היישוב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סוג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יום הקריאה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עיר עתיקה בארץ ישראל שחומתה עמדה בימי יְהוֹשֻׁעַ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כרך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ט"ו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עיר גדולה בבבל, בלי חומה מימות יְהוֹשֻׁעַ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עיר גדולה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י"ד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יישוב קטן שבניו באים לעיר ביום חמישי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כפר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י"ד או יום הכניסה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שושן הבירה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כרך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ט"ו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רמז מן המגילה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אלא שהכפרים מקדימין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ומצאו לדבר זה רמז מן המקרא דכתיב (אסתר ט) לקיים את ימי הפורים האלה בזמניהם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על איזו מילה בפסוק מתבסס הרמז?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בזמניהם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מה היא מלמדת?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«בזמניהם» – לשון רבים: יש עוד זמנים לקריאה מלבד י"ד וט"ו הכתובים במגילה, ומכאן הזמנים המוקדמים של הכפרים.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אלא שהכפרים מקדימין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25"/>
                      <w:szCs w:val="25"/>
                      <w:rtl/>
                    </w:rPr>
                    <w:t xml:space="preserve">וי"ג לא צריך קרא לרבויי שיהא ראוי לקריאה, שעיקר הנס בו היה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לפי הברטנורא אין צורך ברמז מיוחד כדי להכשיר את י"ג באדר?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בי"ג באדר היה עיקר הנס – בו נקהלו היהודים להינקם מאויביהם, בשושן ובשאר המדינות.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קובעת שהכפרים «מַקְדִּימִין» – הם רשאים, אבל הם יכולים גם לקרוא בי"ד. הסבירו: האם בעיניכם זו הקלה או חובה? נמקו מתוך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הקלה: חכמים נתנו לבני הכפרים רשות להקדים, כדי שלא יצטרכו לבוא שוב לעיר. מי שרוצה, יכול לקרוא בזמן הרגיל – בי"ד.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יום הכניסה – כיצד?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ב: «כֵּיצַד? חָל לִהְיוֹת יוֹם אַרְבָּעָה עָשָׂר בַּשֵּׁנִי...».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לכל לוח שנה כתבו מתי קוראים כל אחד מן השלושה (בזמן המשנה). כתבו יום ותאריך.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2201"/>
              <w:gridCol w:w="2201"/>
              <w:gridCol w:w="22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22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הכפר</w:t>
                  </w:r>
                </w:p>
              </w:tc>
              <w:tc>
                <w:tcPr>
                  <w:tcW w:type="dxa" w:w="22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העיר הגדולה</w:t>
                  </w:r>
                </w:p>
              </w:tc>
              <w:tc>
                <w:tcPr>
                  <w:tcW w:type="dxa" w:w="22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בן הכרך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י"ד באדר חל ביום רביעי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שני, י"ב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רביעי, י"ד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חמישי, ט"ו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ט"ו באדר חל בשבת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חמישי, י"ג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שישי, י"ד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שישי, י"ד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י"ג באדר חל ביום שישי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חמישי, י"ב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חמישי, י"ב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ראשון, ט"ו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השנה ט"ו באדר חל ביום שני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חמישי, י"א </w:t>
                  </w:r>
                </w:p>
              </w:tc>
              <w:tc>
                <w:tcPr>
                  <w:tcW w:type="dxa" w:w="220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ראשון, י"ד </w:t>
                  </w:r>
                </w:p>
              </w:tc>
              <w:tc>
                <w:tcPr>
                  <w:tcW w:type="dxa" w:w="22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שני, ט"ו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במקרה השני (ט"ו חל בשבת) – בכמה ימים שונים קוראים בסך הכול?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שניים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ובמקרה השלישי (י"ג חל בשישי, כלומר י"ד בשבת)?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מגלים כללים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הכללים מן המשנה: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לעולם אין קוראים את המגילה ביום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שבת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הכפרים מקדימים רק ליום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שני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או ליום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חמישי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המוקפות חומה קוראים תמיד בט"ו, חוץ ממקרה אחד: כשי"ד חל ב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ערב שבת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כשי"ד חל בשבת, בני הכפרים ובני העיירות קוראים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באותו יום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– ביום הכניסה.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כשי"ד חל בשבת, הכפרים מקדימים דווקא לחמישי, ולא לשישי, שקרוב יותר?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לפי המשנה מקדימים ליום הכניסה – והוא שני או חמישי. יום שישי אינו יום כניסה.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עיון בברטנורא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חל להיות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ואע"פ שבני הכרכים קורין המגילה בי"ד כשחל ט"ו להיות בשבת, מ"מ אין קורין ויבא עמלק אלא בשבת שהוא יום ט"ו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כשט"ו חל בשבת, מה נשאר בשבת עצמה לבני הכרכים, אף שכבר קראו את המגילה?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קוראים בתורה «ויבא עמלק» (הקריאה של פורים) בשבת, שהיא ט"ו; ולפי הברטנורא גם מפטירים «פקדתי» ושואלים ודורשים בהלכות פורים כל אותה שבת.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מצאו בברטנורא: כשט"ו חל בשבת, האם עושים את סעודת פורים בשבת?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– לכולי עלמא אין עושים אותה בשבת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כתובה כמו «לוח»: שבעה מקרים, אחד לכל יום. מדוע לדעתכם בחרה המשנה לפרט כל יום, ולא לכתוב רק כלל אחד?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שכל אחד יידע בדיוק מה לעשות בכל שנה, בלי להתבלבל. בכל יום יש דין קצת אחר (שבת, ערב שבת, יום כניסה), ופירוט מונע טעויות במצווה.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עיר גדולה ושנה מעוברת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משניות ג–ד: «אֵיזוֹ הִיא עִיר גְּדוֹלָה?...» ו«קָרְאוּ אֶת הַמְּגִלָּה בַּאֲדָר הָרִאשׁוֹן...».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ביישוב מסוים יש בית כנסת, אבל רק שמונה אנשים יושבים בו כל היום. לפי המשנה, האם הוא עיר גדולה או כפר?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כפר – יש בו פחות מעשרה בטלנים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תשעה באב חל השנה בשבת. מתי צמים?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ביום ראשון – מאחרין ולא מקדימין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בני כפר הקדימו לקרוא את המגילה ביום הכניסה, י"ב באדר. יהודי אחד רצה לערוך באותו יום הספד על אדם שנפטר. האם מותר? נמקו.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מותר. המשנה אומרת שאף על פי שמקדימים, «מֻתָּרִין בְּהֶסְפֵּד וּבְתַעֲנִיּוֹת» – היום המוקדם אינו פורים עצמו.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קהילה קראה את המגילה בי"ד באדר. אחר כך הודיע בית הדין שהשנה מעוברת. מה הם צריכים לעשות?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לקרוא את המגילה שוב באדר השני, וגם לתת שוב מתנות לאביונים.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רבי יהודה: בני כפר שאינם נכנסים לעיר לא בשני ולא בחמישי. מתי יקראו?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רק בזמנה – בי"ד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ממיינים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את הזמנים לשני הטורים: מגילה / עצי כהנים / תשעה באב / חגיגה / הקהל.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מקדימין ולא מאחרין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מאחרין ולא מקדימין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מגילה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עצי כהנים, תשעה באב, חגיגה, הקהל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עיון בברטנורא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906"/>
                  </w:tblGrid>
                  <w:tr>
                    <w:trPr>
                      <w:cantSplit/>
                    </w:trPr>
                    <w:tc>
                      <w:tcPr>
                        <w:tcW w:type="dxa" w:w="99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single" w:color="5B2245" w:sz="24"/>
                        </w:tcBorders>
                        <w:shd w:fill="F6EDF2" w:color="auto" w:val="clear"/>
                        <w:tcMar>
                          <w:top w:type="dxa" w:w="90"/>
                          <w:left w:type="dxa" w:w="300"/>
                          <w:bottom w:type="dxa" w:w="60"/>
                          <w:right w:type="dxa" w:w="300"/>
                        </w:tcMar>
                      </w:tcPr>
                      <w:p>
                        <w:pPr>
                          <w:keepNext/>
                          <w:bidi/>
                          <w:spacing w:after="80" w:before="0"/>
                          <w:jc w:val="both"/>
                        </w:pPr>
                        <w:r>
                          <w:drawing>
                            <wp:inline distT="0" distB="0" distL="0" distR="0">
                              <wp:extent cx="209550" cy="20955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" cy="2095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  ברטנורא</w:t>
                        </w:r>
                      </w:p>
                      <w:p>
                        <w:pPr>
                          <w:keepLines/>
                          <w:bidi/>
                          <w:spacing w:after="70" w:before="0" w:line="330"/>
                          <w:jc w:val="both"/>
                        </w:pPr>
                        <w:r>
                          <w:rPr>
                            <w:rFonts w:ascii="Frank Ruhl TB Bold" w:cs="Frank Ruhl TB Bold" w:eastAsia="Frank Ruhl TB Bold" w:hAnsi="Frank Ruhl TB Bold"/>
                            <w:b w:val="false"/>
                            <w:color w:val="5B2245"/>
                            <w:sz w:val="25"/>
                            <w:szCs w:val="25"/>
                            <w:rtl/>
                          </w:rPr>
                          <w:t xml:space="preserve">ולא מקדימין – </w:t>
                        </w:r>
                        <w:r>
                          <w:rPr>
                            <w:rFonts w:ascii="Frank Ruhl TB" w:cs="Frank Ruhl TB" w:eastAsia="Frank Ruhl TB" w:hAnsi="Frank Ruhl TB"/>
                            <w:b w:val="false"/>
                            <w:color w:val="2A1F28"/>
                            <w:sz w:val="25"/>
                            <w:szCs w:val="25"/>
                            <w:rtl/>
                          </w:rPr>
                          <w:t xml:space="preserve">דאכתי לא מטי זמן חיובייהו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 את הברטנורא במילים שלכם: מדוע אין מקדימים את קרבן החגיגה לפני החג?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לפני החג עוד לא הגיע זמן החובה להביא את הקרבן – אי אפשר לקיים מצווה לפני שהתחייבו 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5B2245" w:sz="24"/>
                  </w:tcBorders>
                  <w:shd w:fill="F6ED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  ברטנורא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Frank Ruhl TB Bold" w:cs="Frank Ruhl TB Bold" w:eastAsia="Frank Ruhl TB Bold" w:hAnsi="Frank Ruhl TB Bold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וחגיגה – </w:t>
                  </w:r>
                  <w:r>
                    <w:rPr>
                      <w:rFonts w:ascii="Frank Ruhl TB" w:cs="Frank Ruhl TB" w:eastAsia="Frank Ruhl TB" w:hAnsi="Frank Ruhl TB"/>
                      <w:b w:val="false"/>
                      <w:color w:val="2A1F28"/>
                      <w:sz w:val="25"/>
                      <w:szCs w:val="25"/>
                      <w:rtl/>
                    </w:rPr>
                    <w:t xml:space="preserve">אם חל י"ט בשבת דוחין שלמי חגיגה למחר, שהרי יש לה תשלומין כל ז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מדוע אין בעיה לדחות את החגיגה ליום שאחרי השבת?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יש לה תשלומין כל שבעה ימים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אדר ראשון ואדר שני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הטבלה (לפי המשנה והברטנורא):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בי"ד באדר ראשון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בי"ד באדר שני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קריאת המגילה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מתנות לאביונים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הספד ותענית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הביטוי «אֵין בֵּין... אֶלָּא...» מלמד אותנו להשוות. נסחו במשפט אחד מה שווה ומה שונה בין שני האדרים.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השונה – קריאת המגילה ומתנות לאביונים נוהגות רק באדר השני. השווה – בהספד ובתענית שניהם שווים (אסור בשניהם).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אין בין – שבת, יום טוב ונדרים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ה ומשנה ו. בדף הזה תתרגלו את ההשוואות «אֵין בֵּין... אֶלָּא...» על מקרים מן החיים.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 כל מקרה כתבו: מותר / אסור, והסבירו בקצרה לפי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 / אסור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ראשון של פסח אבא מבשל מרק לסעודת החג.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אוכל נפש מותר ביום טוב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בשבת אחי רוצה לחמם תבשיל על האש.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בשבת אוכל נפש אסור – רק ביום טוב הותר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ביום טוב יוסי רוצה לתקן את האופניים.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זו מלאכה שאינה אוכל נפש – אסורה גם ביום טוב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דוד נאסר בנדר במאכל של שמעון. הוא נכנס לחצר של שמעון כדי לקרוא לו.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דריסת הרגל אסורה רק למודר הנאה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משה נאסר בנדר בהנאה מחברו אליהו. הוא נכנס לבית של אליהו.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למודר הנאה אסורה דריסת הרגל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נדר או נדבה?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 כל משפט: נדר או נדבה? וכתבו אם חייב באחריות.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2477"/>
              <w:gridCol w:w="2476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האדם?</w:t>
                  </w:r>
                </w:p>
              </w:tc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נדר / נדבה</w:t>
                  </w:r>
                </w:p>
              </w:tc>
              <w:tc>
                <w:tcPr>
                  <w:tcW w:type="dxa" w:w="247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אם אבדה – חייב להביא אחרת?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«הֲרֵי עָלַי עוֹלָה»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נדר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«הֲרֵי זוֹ עוֹלָה» (והצביע על כבש)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נדבה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«אני מקבל על עצמי להביא קרבן תודה»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נדר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«הכבש הזה יהיה קרבן שלמים»</w:t>
                  </w:r>
                </w:p>
              </w:tc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נדבה </w:t>
                  </w:r>
                </w:p>
              </w:tc>
              <w:tc>
                <w:tcPr>
                  <w:tcW w:type="dxa" w:w="247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קוראים ומבינים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«אֵין בֵּין שַׁבָּת לְיוֹם הַכִּפּוּרִים, אֶלָּא שֶׁזֶּה זְדוֹנוֹ בִּידֵי אָדָם, וְזֶה זְדוֹנוֹ בְּכָרֵת». לאיזה יום מתאים כל חלק?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«זְדוֹנוֹ בִּידֵי אָדָם»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שבת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«זְדוֹנוֹ בְּכָרֵת»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יום הכיפורים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המשנה, מי שאסור בנדר בהנאה מחברו – האם מותר לו לשאול מחברו כלי? ומה הדין במודר מאכל?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למודר הנאה אסור ליהנות מכל דבר של חברו, גם מכלים. למודר מאכל מותר לשאול כלים שאין עושים בהם אוכל נפש (לפי הברטנורא – במקום שאין משכירים כלים כאלה).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במה נדר ונדבה שווים? (רמז: הברטנורא – «בַּל תְּאַחֵר»)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בשניהם אסור לאחר את הבאת הקרבן – «בַּל תְּאַחֵר» חל גם על נדר וגם על נדבה.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כותבת רק את ההבדל ולא את כל הדברים המשותפים. למה לדעתכם זו דרך לימוד טובה? כתבו נימוק אחד.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כך קל לזכור: אם יודעים שכמעט הכול שווה, מספיק לזכור את ההבדל היחיד. זו דרך קצרה ומדויקת, כמו שהמשנה נכתבה בקיצור כדי שיהיה אפשר לשנן אותה בעל 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אין בין – טומאה וטהרה, ספרים ותפילין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משנה ז ומשנה 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מסווגים: מוסגר, מוחלט או שניהם?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סמנו לכל דין: רק מוסגר / רק מוחלט / שניהם.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טמא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שניהם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נשלח אל מחוץ למחנה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שניהם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פְּרִיעָה וּפְרִימָה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רק מוחלט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כשנטהר – תגלחת וציפורים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רק מי שנטהר מתוך החלט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כשנטהר – טובל במקווה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שניהם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חשוב לדעת שגם המוסגר טמא, אף על פי שעוד לא ברור שיש לו צרעת?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כל זמן שהוא מוסגר דינו כטמא לכל דבר (טומאה ושילוח). ההבדל בינו לבין המוחלט הוא רק בפריעה ופרימה, ובתגלחת וציפורים כשנטהר.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כתיבת ספרי קודש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403"/>
                    <w:gridCol w:w="2201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4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פסול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לפי מי ולמה?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סופר כתב פרשת מזוזה באותיות לטיניות.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פסול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כולם: מזוזה נכתבת רק אשורית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בימי המשנה כתבו ספר משלי ביוונית.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לתנא קמא ולרשב"ג – יוונית מותרת בספרים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בימי המשנה כתבו ספר תהלים בלשון אחרת (לא יוונית).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לתנא קמא, פסול לרשב"ג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מחלוקת: «בכל לשון» או «רק יוונית»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היום כותבים ספר תורה בכתב הקודש ובלשון הקודש.</w:t>
                        </w:r>
                      </w:p>
                    </w:tc>
                    <w:tc>
                      <w:tcPr>
                        <w:tcW w:type="dxa" w:w="22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כך נוהגים היום (ברטנורא)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«וּתְפִלִּין וּמְזוּזוֹת אֵינָן נִכְתָּבוֹת אֶלָּא אַשּׁוּרִית». העתיקו מן המשנה את דעת רבן שמעון בן גמליאל: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«אַף בַּסְּפָרִים, לֹא הִתִּירוּ שֶׁיִּכָּתְבוּ אֶלָּא יְוָנִית».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פירוש המילה «אַף» בדברי רבן שמעון בן גמליאל? על מה הוא מוסיף?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«אף» = גם. רשב"ג אומר: גם בספרים (ולא רק בתפילין ומזוזות) יש הגבלה – מותר רק אשורית או יוונית, ולא כל לשון.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המשנה בחיינו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מזוזה פסולה אם חסרה בה אות אחת. מה זה מלמד אותנו על הדיוק בדברים קדושים? כתבו מה אפשר לעשות כדי לשמור על כשרות המזוזות בבית.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הדיוק בכל אות מראה את כבוד הקדושה. כדאי לבדוק את המזוזות אצל סופר סת"ם פעמיים בשבע שנים, לקנות מזוזות ממקום מוסמך, ולשמור עליהן מרטיבות ומשבירה.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QQS5QQ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ראשון – מגילה נקראת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אין בין – כהן גדול, במות, שילה וירושלים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א משניות ט, י ו־יא.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 מביא?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661"/>
                    <w:gridCol w:w="424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66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הקרבן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 מביא אותו?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פר הבא על כל המצוות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כהן משוח בשמן המשחה (לא מרובה בגדים)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פר יום הכיפורים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הכהן המשמש (לא הכהן שעבר)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66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עשירית האיפה (בכל יום)</w:t>
                        </w:r>
                      </w:p>
                    </w:tc>
                    <w:tc>
                      <w:tcPr>
                        <w:tcW w:type="dxa" w:w="424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הכהן המשמש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אומר על פר יום הכיפורים ועשירית האיפה: «שא"א להביא שתים». הסבירו: למה רק כהן אחד מביא אותם?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אלה קרבנות של הכהן הגדול שאי אפשר להביא פעמיים (שני פרים ביום הכיפורים או שתי מנחות ביום) – לכן רק הכהן המשמש מביא אותם.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במות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בזמן שהבמות היו מותרות. כתבו לכל קרבן: קרב בבמה קטנה או רק בבמה גדולה?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61"/>
              <w:gridCol w:w="4245"/>
            </w:tblGrid>
            <w:tr>
              <w:trPr>
                <w:cantSplit/>
                <w:tblHeader/>
              </w:trPr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הקרבן</w:t>
                  </w:r>
                </w:p>
              </w:tc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היכן?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עולה שאדם נדר להביא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גם בבמה קטנה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שלמים שאדם התנדב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גם בבמה קטנה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קרבן פסח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רק בבמה גדולה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קרבן תמיד ומוספים (לפי הברטנורא)</w:t>
                  </w:r>
                </w:p>
              </w:tc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רק בבמה גדולה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כתבו את «זֶה הַכְּלָל» שבמשנה י, והסבירו איך הוא עזר לכם לפתור את הטבלה.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«כָּל שֶׁהוּא נִדָּר וְנִדָּב, קָרֵב בְּבָמָה; וְכָל שֶׁאֵינוֹ לֹא נִדָּר וְלֹא נִדָּב, אֵינוֹ קָרֵב בַּבָּמָה». עולה ושלמים באים בנדר ובנדבה – קרבים בבמה קטנה; פסח, תמיד ומוספים הם חובה – רק בבמה גדולה.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שילה או ירושלים?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2477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הדין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שילה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ירושלים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קדשים קלים ומעשר שני נאכלים...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בכל הרואה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לפנים מן החומה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קדשי קדשים נאכלים...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לפנים מן הקלעים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לפנים מן הקלעים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אחרי החורבן – הותרו הבמות?</w:t>
                        </w:r>
                      </w:p>
                    </w:tc>
                    <w:tc>
                      <w:tcPr>
                        <w:tcW w:type="dxa" w:w="2477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כן 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«קְדֻשַּׁת שִׁילֹה יֵשׁ אַחֲרֶיהָ הֶתֵּר, וּקְדֻשַּׁת יְרוּשָׁלַיִם אֵין אַחֲרֶיהָ הֶתֵּר». מה ההבדל בין קדושה לזמן לבין קדושה לעולם? כתבו דוגמה מחייכם לדבר שהוא «לזמן» ולדבר שהוא «לעולם».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קדושה לזמן נגמרת כשהזמן או המקום נעלמים (שילה – אחרי שחרבה הותרו הבמות). קדושה לעולם נשארת גם אחרי החורבן (ירושלים). דוגמה: תפקיד בכיתה הוא לזמן; הקשר למשפחה הוא לעולם.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שני – הקורא למפרע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QQS6QQ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איך קוראים את המגילה?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א ומשנה ב,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קראו כל מקרה. כתבו «יצא» או «לא יצא» וציינו את המילים מן המשנה שעליהן אתם מסתמכים.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המילים מן המשנה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שמעון קרא פרק ג' לפני פרק ב'.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יצא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הַקּוֹרֵא אֶת הַמְּגִלָּה לְמַפְרֵעַ, לֹא יָצָא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תייר ששפתו צרפתית שמע את המגילה בלשון הקודש, ולא הבין.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יצא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וְהַלּוֹעֵז שֶׁשָּׁמַע אַשּׁוּרִית, יָצָא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לוי קרא את המגילה, עצר לאכול ארוחה, וחזר והמשיך מהמקום שעצר.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יצא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קְרָאָהּ סֵרוּגִין... יָצָא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הסופר כתב מגילה, קרא כל פסוק לפני שכתב אותו, ולא חשב לצאת ידי חובה.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יצא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וְאִם לָאו, לֹא יָצָא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קהילה בחוץ לארץ שמדברת רק ספרדית שמעה את המגילה מתוך מגילה כתובה בספרדית.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יצאו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קוֹרִין אוֹתָהּ לַלּוֹעֲזוֹת בְּלַעַז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מגילה כשרה – מה צריך?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 את הטבלה לפי סוף 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3715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כשר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פסול (לא יוצאים בה)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הכתב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אַשּׁוּרִית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כתב אחר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במה כותבים?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דְּיוֹ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סַם, סִקְרָא, קוֹמוֹס, קַנְקַנְתּוּם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על מה כותבים?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הַסֵּפֶר – קלף </w:t>
                  </w:r>
                </w:p>
              </w:tc>
              <w:tc>
                <w:tcPr>
                  <w:tcW w:type="dxa" w:w="371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נְּיָר, דִּפְתָּרָא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ההבדל בין «דִּפְתָּרָא» לבין «הַסֵּפֶר»? (היעזרו בברטנורא: «עור שלא נשלם תקונו»)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שניהם עשויים מעור, אבל הדפתרא היא עור שעיבודו לא הושלם, ואילו הספר הוא קלף מעובד כראוי. לכן על הדפתרא לא יוצאים.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סדרו לפי הסדר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מסדרת את הדינים לפי השאלות: איך קוראים → מה מותר בזמן הקריאה → במה כתובה המגילה. מספרו (1–3) את השאלות לפי הסדר שבמשנה: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באיזה דיו ועל איזה חומר כתובה המגילה?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האם מותר לקרוא בלשון אחרת?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מה הדין אם הפסיק או התנמנם?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יעקב אומר: «אני יודע את המגילה בעל פה מצוין, אז אני לא צריך מגילה». מה תענו לו לפי המשנה והברטנורא?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המשנה אומרת «קְרָאָהּ עַל פֶּה... לֹא יָצָא», והברטנורא לומד זאת מ«זכרון בספר» – צריך לקרוא מתוך מגילה כתובה, גם מי שיודע בעל 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QQS7QQ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בן עיר ובן כרך · מי כשר לקרוא?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ג ומשנה ד,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מתי הוא קורא?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באיזה יום הוא קורא את המגילה – י"ד או ט"ו? והסבירו.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נתן מבני ברק (עיר) נוסע לירושלים לכל ימי הפורים ונשאר שם.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ט"ו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אינו עתיד לחזור – קורא עמהן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אליהו מירושלים (כרך) נסע לחיפה (עיר) ויחזור הביתה לפני הבוקר של י"ד.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ט"ו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עתיד לחזור – קורא כמקומו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אריאל מאשדוד (עיר) עבר לגור בירושלים לפני פורים.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ט"ו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אינו עתיד לחזור – קורא עמהן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גבריאל מרחובות (עיר) ביקר בירושלים וחזר לרחובות לפני ליל ט"ו.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י"ד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עתיד לחזור – קורא כמקומו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כשר או פסול לקרוא?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הקורא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אינו כשר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לפי מי? / ההלכה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בחור בן 15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הַכֹּל כְּשֵׁרִין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ילד בן 9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אינו כשר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חכמים; רבי יהודה מכשיר, ואין הלכה כמותו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שאינו שומע כלל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אינו כשר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חוץ מחרש – לפי רבי יוסי צריך להשמיע לאזניו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מחלוקת – איפה מתחילים?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שלוש נקודות במגילת אסתר. כתבו ליד כל אחת איזה תנא אומר שמשם צריך לקרוא.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 במגילה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התנא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«וַיְהִי בִּימֵי אֲחַשְׁוֵרוֹשׁ» – פרק א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רבי מאיר (כולה)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«אִישׁ יְהוּדִי הָיָה בְּשׁוּשַׁן הַבִּירָה» – פרק ב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רבי יהודה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«אַחַר הַדְּבָרִים הָאֵלֶּה גִּדַּל הַמֶּלֶךְ אֲחַשְׁוֵרוֹשׁ אֶת הָמָן» – פרק ג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רבי יוסי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נקודת המחלוקת בין רבי יהודה לרבי יוסי? (מה כל אחד מהם רואה כ«תחילת הנס»?)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לרבי יהודה הסיפור מתחיל במרדכי, שבזכותו בא הנס; לרבי יוסי הוא מתחיל בגדולת המן ובגזרה – משם מתחילה הצרה שממנה ניצלו.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לפני הנץ או אחרי?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בית הכנסת «אוהל משה» התחיל לקרוא את המגילה ביום פורים כשכבר היה אור בשמים, אבל לפני שהשמש זרחה. האם יצאו? הסבירו לפי סוף משנה 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יצאו – «וְכֻלָּן שֶׁעָשׂוּ מִשֶּׁעָלָה עַמּוּד הַשַּׁחַר, כָּשֵׁר». אבל לכתחילה מחכים להנץ החמה.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QQS8QQ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שני – הקורא למפרע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כל היום כשר, כל הלילה כשר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ב משנה ה ומשנה ו, וענו על השאלות.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יום או לילה?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מיינו: כתבו ליד כל מצווה «כל היום» או «כל הלילה».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604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המצווה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מתי כשרה?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תקיעת שופר בראש השנה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היום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הקטר חלבים ואברים על המזבח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הלילה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נטילת לולב בסוכות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היום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קצירת העומר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הלילה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תפילת מוסף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היום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שחיטת קרבן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היום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משתמשים ב«זה הכלל»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המשנה לא מנתה את כל המצוות. השתמשו בכלל וקבעו מה הדין: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ספירת העומר נאמרת בלילה. לפי הכלל – מתי אפשר לספור?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כל הלילה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הנחת תפילין היא מצווה של יום. לפי הכלל – מתי אפשר להניח?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כל היום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מוסיף שני דברים שה«כלל» בא לרבות. השלימו: ביום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סידור שני בזיכי הלבונה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; בלילה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אכילת פסחים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השוו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במשנה ד למדנו «אֵין קוֹרִין אֶת הַמְּגִלָּה... עַד שֶׁתָּנֵץ הַחַמָּה», ובמשנה ה – «כָּל הַיּוֹם כָּשֵׁר לִקְרִיאַת הַמְּגִלָּה». מה כל משנה מלמדת על זמן הקריאה ביום?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משנה ד מלמדת מתי מתחילים: לכתחילה מהנץ החמה (ובדיעבד מעמוד השחר). משנה ה מלמדת עד מתי: כל היום כשר, עד סוף היום.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הקשר בין דין «עד חצות» באכילת הפסח לבין ההנהגה של חכמים במצוות אחרות? כתבו דוגמה נוספת של «גדר» שעשו חכמים, שאתם מכירים.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חכמים קבעו זמן מוקדם יותר כדי להרחיק את האדם מן העבירה. דוגמה: קריאת שמע של ערבית עד חצות, מוקצה בשבת, או כל גדר אחר שהתלמיד מכיר.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חפשו במשנה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מצאו במשנה ה ושלימו: שלושה סוגי וידוי: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וידוי הפרים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,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וידוי המעשר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,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וידוי יום הכיפורים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שלישי – בני העיר · משניות א–ו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QQS9QQ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קדושת בית הכנסת – מכירה וקנייה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א ומשנה ב.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מקרים. כתבו אם מותר או אסור, והסבירו לפי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1238"/>
              <w:gridCol w:w="3715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2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מותר/אסור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אנשי הכפר מכרו את ארון הקודש הישן ורוצים לקנות בכסף כריכות בד חדשות לספרים.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מטפחות קדושות יותר מתבה – מעלין בקודש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ספר נביאים בלוי ורוצים לקנות בכסף ספסלים לבית הכנסת.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בית הכנסת קדוש פחות מספרים – אין מורידין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מטפחות, קנו ספר נביא, ונשאר כסף. רוצים לקנות בו פרוכת לתבה.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וכן במותריהן – בכסף הנותר אין קונים דבר שקדושתו פחותה, ותבה פחותה ממטפחות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מכרו את רחבת העיר ורוצים לבנות בכסף בית כנסת.</w:t>
                  </w:r>
                </w:p>
              </w:tc>
              <w:tc>
                <w:tcPr>
                  <w:tcW w:type="dxa" w:w="1238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מותר </w:t>
                  </w:r>
                </w:p>
              </w:tc>
              <w:tc>
                <w:tcPr>
                  <w:tcW w:type="dxa" w:w="37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בית כנסת קדוש יותר מרחוב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לפי דרגות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סדרו את הדברים מן הקדוש ביותר (1) אל הקדוש פחות (6): מטפחות · רחוב · ספר תורה · תבה · ספרי נביאים · בית כנסת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1"/>
              <w:gridCol w:w="1651"/>
              <w:gridCol w:w="1651"/>
              <w:gridCol w:w="1651"/>
              <w:gridCol w:w="1651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1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2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ספר תורה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ספרי נביאים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מטפחות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תבה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בית כנסת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רחוב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שלוש דעות – מכירת בית כנסת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קהילה רוצה למכור בית כנסת ישן. מה יאמר כל חכם?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מאיר: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מותר רק על תנאי – שאם ירצו יחזירוהו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חכמים: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מותר ממכר עולם, אבל לא למרחץ, לבורסקי, לטבילה ולבית המים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5B2245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יהודה: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מותר לשם חצר, והקונה יעשה בו מה שירצה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הקונה רוצה לפתוח במבנה מכבסה. לפי חכמים – האם מותר? הסבירו.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אסור. «בית המים» הוא אחד מארבעת הדברים שאסור למכור להם בית כנסת (הברטנורא: «לכביסה»).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רבי יהודה אומר «אֵין מוֹכְרִין אֶת שֶׁל רַבִּים לַיָּחִיד». מה ענו לו חכמים, ומה כוונתם?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«אם כן, אף לא מעיר גדולה לעיר קטנה» – לפי הסברה שלך, גם ממקום גדול של רבים למקום קטן היה צריך לאסור, ואין הדבר כך.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לפי הברטנורא, בית כנסת של כרך אי אפשר למכור. מדוע? איזה בית כנסת דומה לו בימינו?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אנשים מכל מקום באים אליו, והוא שייך לרבים ולא רק לבני העיר. בימינו – למשל בית כנסת בתחנה מרכזית, בבית חולים או ליד הכותל, שכל העוברים מתפללים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QQS10QQ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כבוד בית הכנסת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ג.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238"/>
                    <w:gridCol w:w="3715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מותר/אסור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הסבר מן המשנה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דייג רוצה לפרוש את רשתות הדיג שלו לייבוש בתוך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אין פורשין לתוכו מצודות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חקלאי רוצה לייבש תאנים על גג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אין שוטחין על גגו פירות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אדם ממהר לשוק ורוצה לקצר את הדרך דרך בית כנסת שחרב.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אין עושין אותו קפנדריא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95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רועה רוצה לתלוש את העשבים שגדלו בחורבה כדי להאכיל את הצאן.</w:t>
                        </w:r>
                      </w:p>
                    </w:tc>
                    <w:tc>
                      <w:tcPr>
                        <w:tcW w:type="dxa" w:w="1238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</w:t>
                        </w:r>
                      </w:p>
                    </w:tc>
                    <w:tc>
                      <w:tcPr>
                        <w:tcW w:type="dxa" w:w="3715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יתלוש, מפני עגמת נפש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משפט – פסוק – טעם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השלימו: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הדין: בית כנסת שחרב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עדיין קדוש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הפסוק: «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וַהַשִׁמּוֹתִי אֶת מִקְדְּשֵׁיכֶם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».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הלימוד: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קדושתן אף כשהן שוממין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שני טעמים שונים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במשנה יש שני טעמים: «קדושה» ו«עגמת נפש». כתבו לכל טעם איזה דין הוא מסביר.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6604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הטעם</w:t>
                  </w:r>
                </w:p>
              </w:tc>
              <w:tc>
                <w:tcPr>
                  <w:tcW w:type="dxa" w:w="66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הדינים שהוא מסביר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קדושתן אף כשהן שוממין</w:t>
                  </w:r>
                </w:p>
              </w:tc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אין מספידין, אין מפשילין חבלים, אין פורשין מצודות, אין שוטחין פירות, אין עושין קפנדריא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עגמת נפש</w:t>
                  </w:r>
                </w:p>
              </w:tc>
              <w:tc>
                <w:tcPr>
                  <w:tcW w:type="dxa" w:w="660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עלו בו עשבים – לא יתלוש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 – האם מותר לתלוש עשבים ולהשאיר אותם במקומם? מדוע?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כן, מותר. כשהעשבים נשארים במקום, עדיין רואים אותם ויש עגמת נפש. אסור רק לתלוש כדי להאכיל בהמה או לאבד אותם.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המשנה בחיינו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שלושה כללים להתנהגות מכבדת בבית הכנסת שלכם, ברוח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לדוגמה: לא להיכנס לבית הכנסת רק כדי לקצר את הדרך; לא לאכול ולשחק בו; לשמור על ניקיון ועל שקט בזמן התפילה.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QQS11QQ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ארבע פרשיות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לוח השבתות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בשנה מסוימת א' באדר חל ביום רביעי, פורים (י"ד באדר) חל ביום שלישי, וא' בניסן חל ביום חמישי. השלימו מה קוראים בכל שבת: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5944"/>
            </w:tblGrid>
            <w:tr>
              <w:trPr>
                <w:cantSplit/>
                <w:tblHeader/>
              </w:trP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השבת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קוראים?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שלפני ראש חודש אדר (כ"ז בשבט)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פרשת שקלים – מקדימין לשעבר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 ראש חודש אדר (ד'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מפסיקין – אין פרשה מיוחדת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שלפני פורים (י"א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זכור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 פורים (י"ח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פרה אדומה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שאחריה (כ"ה באדר)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החדש הזה לכם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96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השבת הבאה (ג' בניסן)</w:t>
                  </w:r>
                </w:p>
              </w:tc>
              <w:tc>
                <w:tcPr>
                  <w:tcW w:type="dxa" w:w="5944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חוזרין לכסדרן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ראש חודש אדר חל בשבת. מה קוראים בשבת זו?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פרשת שקלים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 אדר חל ביום שישי. לפי הברטנורא – מתי קוראים שקלים?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בשבת שעברה – לפני ראש החודש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השבת היא גם ראש חודש. האם ההפטרה תהיה מעניין פרשת השבוע? הסבירו לפי «לכל מפסיקין».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לא. בראש חודש מפסיקים את סדר ההפטרות ומפטירים מעין המאורע – הפטרה שעניינה ראש חודש.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מדוע לדעתכם קוראים את פרשת פרה (טהרה) דווקא לפני פרשת החדש (קרבן פסח)?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צריך להיטהר לפני שמקריבים את קרבן הפסח. כך כתב הברטנורא: להזהיר את ישראל לטהר עצמם כדי שיעשו פסחיהם בטהרה.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ההפטרות של ארבע הפרשיות (לפי הברטנורא) מתאימות לנושא כל פרשה. התאימו: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962"/>
        <w:gridCol w:w="1981"/>
        <w:gridCol w:w="3963"/>
      </w:tblGrid>
      <w:tr>
        <w:tc>
          <w:tcPr>
            <w:tcW w:type="dxa" w:w="396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פרשה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3"/>
                <w:szCs w:val="23"/>
                <w:rtl/>
              </w:rPr>
              <w:t xml:space="preserve">ההפטרה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שקלים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וזרקתי עליכם מים טהורים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זכור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בראשון באחד לחודש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פרה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בן שבע שנים</w:t>
            </w:r>
          </w:p>
        </w:tc>
      </w:tr>
      <w:tr>
        <w:trPr>
          <w:cantSplit/>
          <w:trHeight w:val="600" w:hRule="atLeast"/>
        </w:trPr>
        <w:tc>
          <w:tcPr>
            <w:tcW w:type="dxa" w:w="3962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6EDF2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25"/>
                <w:szCs w:val="25"/>
                <w:rtl/>
              </w:rPr>
              <w:t xml:space="preserve">החדש</w:t>
            </w: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   ●</w:t>
            </w:r>
          </w:p>
        </w:tc>
        <w:tc>
          <w:tcPr>
            <w:tcW w:type="dxa" w:w="198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 </w:t>
            </w:r>
          </w:p>
        </w:tc>
        <w:tc>
          <w:tcPr>
            <w:tcW w:type="dxa" w:w="3963"/>
            <w:tcBorders>
              <w:top w:val="single" w:color="FFFFFF" w:sz="12"/>
              <w:left w:val="single" w:color="FFFFFF" w:sz="12"/>
              <w:bottom w:val="single" w:color="FFFFFF" w:sz="12"/>
              <w:right w:val="single" w:color="FFFFFF" w:sz="12"/>
            </w:tcBorders>
            <w:shd w:fill="FB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bidi/>
              <w:spacing w:after="0" w:before="0"/>
              <w:jc w:val="both"/>
            </w:pPr>
            <w:r>
              <w:rPr>
                <w:rFonts w:ascii="Rubik MG" w:cs="Rubik MG" w:eastAsia="Rubik MG" w:hAnsi="Rubik MG"/>
                <w:b w:val="false"/>
                <w:color w:val="D08A2E"/>
                <w:sz w:val="23"/>
                <w:szCs w:val="23"/>
                <w:rtl/>
              </w:rPr>
              <w:t xml:space="preserve">● 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3"/>
                <w:szCs w:val="23"/>
                <w:rtl/>
              </w:rPr>
              <w:t xml:space="preserve">פקדתי את אשר עשה לך עמלק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שקלים – בן שבע שנים · זכור – פקדתי את אשר עשה לך עמלק · פרה – וזרקתי עליכם מים טהורים · החדש – בראשון באחד לחודש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QQS12QQ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שלישי – בני העיר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קריאת התורה במועדים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ג משנה ה ומשנה 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את הקריאות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קריאות מן המשנה. מיינו אותן בטבלה: «הנשיאים», «שבעה שבועות», «ויבא עמלק», «אחרי מות», «בחדש השביעי באחד לחדש», «ובראשי חדשיכם», «קרבנות החג», «ברכות וקללות».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953"/>
              <w:gridCol w:w="4953"/>
            </w:tblGrid>
            <w:tr>
              <w:trPr>
                <w:cantSplit/>
                <w:tblHeader/>
              </w:trPr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חגים מן התורה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ימים מיוחדים אחרים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שבעה שבועות; אחרי מות; בחדש השביעי באחד לחדש; קרבנות החג 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הנשיאים; ויבא עמלק; ובראשי חדשיכם; ברכות וקללות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קוראים?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היום השלישי של סוכות (חול המועד). מה קוראים?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קרבנות החג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היום יום תענית. מה קוראים?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ברכות וקללות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ומי קורא את הקללות?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עולה אחד קורא את כולן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שבת בצהריים (מנחה). מה קוראים?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מתחילת הפרשה של השבוע הבא – כסדרן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ראש חודש. מה קוראים?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ובראשי חדשיכם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מקור וטעם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מאיזה פסוק לומדים שקוראים בכל מועד מענינו? כתבו אותו מן המשנה.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«וַיְדַבֵּר מֹשֶׁה אֶת מֹעֲדֵי ה' אֶל בְּנֵי יִשְׂרָאֵל» – מצוותן שיהו קורין כל אחד ואחד בזמנו.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מדוע במעמדות קוראים מעשה בראשית?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בזכות הקרבנות נתקיימו שמים וארץ (ואנשי המעמד היו קשורים לקרבנות שבמקדש).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בשני ובחמישי קוראים קטע מן הפרשה, ובשבת חוזרים וקוראים אותו שוב. למה לדעתכם קוראים בשני ובחמישי אם הקריאה אינה «נספרת»?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שלא יעברו שלושה ימים בלי קריאה בתורה; הקריאה מחברת אותנו לתורה במשך כל השבוע, גם אם אינה מקדמת את הסדר.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/>
        <w:bidi/>
        <w:spacing w:after="60" w:before="500"/>
        <w:jc w:val="center"/>
      </w:pPr>
      <w:r>
        <w:rPr>
          <w:rFonts w:ascii="Suez One" w:cs="Suez One" w:eastAsia="Suez One" w:hAnsi="Suez One"/>
          <w:b w:val="false"/>
          <w:color w:val="5B2245"/>
          <w:sz w:val="41"/>
          <w:szCs w:val="41"/>
          <w:rtl/>
        </w:rPr>
        <w:t xml:space="preserve">פרק רביעי – הקורא עומד · משניות א–י</w:t>
      </w:r>
    </w:p>
    <w:p>
      <w:pPr>
        <w:keepNext w:val="false"/>
        <w:bidi/>
        <w:spacing w:after="20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QQS13QQ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כמה עולים לתורה?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א–ב, ובברטנורא עליהן.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ביום חמישי בבוקר הגבאי רוצה להעלות ארבעה אנשים לתורה, כי יש בבית הכנסת אבא שנולד לו בן. מה תאמרו לו לפי המשנה? למה?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אין להוסיף: «בשני ובחמישי... קורין שלשה, אין פוחתין ואין מוסיפין עליהן». הברטנורא: שלא יקשה לציבור, כי אלה ימי מלאכה.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בשמחת בית הכנסת בשבת רוצים להעלות לתורה עשרה אנשים. האם מותר?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כן. בשבת «אין פוחתין מהן, אבל מוסיפין עליהן».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בחול המועד סוכות רצה הגבאי להוסיף עולה חמישי. מה הדין, ומה הטעם לפי הברטנורא?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אסור – בחול המועד «אין פוחתין מהן ואין מוסיפין עליהן». הברטנורא: גם בחול המועד יש ביטול מלאכה, כי מלאכת דבר האבד מותרת.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ראובן ושמעון קראו יחד את המגילה בקול, ושניהם השמיעו לציבור. האם הציבור יצא ידי חובה?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כן – «קראוה שנים, יצאו»; כיוון שהמגילה חביבה, מקשיבים היטב (ברטנורא)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מיינו את הימים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כתבו כל יום בעמודה המתאימה: ראש חודש אדר · יום כיפור · שבת בראשית · שבועות · יום שני · חול המועד פסח · שבת במנחה · ראש השנה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1981"/>
              <w:gridCol w:w="1981"/>
              <w:gridCol w:w="1981"/>
              <w:gridCol w:w="1982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3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4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5 עולים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6 עולים</w:t>
                  </w:r>
                </w:p>
              </w:tc>
              <w:tc>
                <w:tcPr>
                  <w:tcW w:type="dxa" w:w="198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7 עולים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שני; שבת במנחה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ראש חודש אדר; חול המועד פסח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שבועות; ראש השנה 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יום כיפור </w:t>
                  </w:r>
                </w:p>
              </w:tc>
              <w:tc>
                <w:tcPr>
                  <w:tcW w:type="dxa" w:w="198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שבת בראשית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שרשרת ההיגיון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הקשר בין חומרת היום לבין מספר העולים? השלימו לפי הברטנורא: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4953"/>
              <w:gridCol w:w="1651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היום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מוסיף לו חשיבות?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עולים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קרבן מוסף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יום טוב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ביטול מלאכה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יום הכיפורים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ענוש כרת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שבת</w:t>
                  </w:r>
                </w:p>
              </w:tc>
              <w:tc>
                <w:tcPr>
                  <w:tcW w:type="dxa" w:w="4953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חיוב סקילה </w:t>
                  </w:r>
                </w:p>
              </w:tc>
              <w:tc>
                <w:tcPr>
                  <w:tcW w:type="dxa" w:w="165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7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הסבירו: למה ביום טוב אפשר להוסיף עולים, ובראש חודש אי אפשר?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ביום טוב אין הולכים לעבודה, ולכן אין טורח לציבור אם מאריכים. בראש חודש ובחול המועד רבים עובדים, ולכן אין מוסיפים.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לפי הברטנורא, היום כל עולה מברך לפני הקריאה ואחריה. מה היה המנהג בזמן המשנה?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רק הפותח מברך לפניה והחותם מברך לאחריה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מספר העולים נקבע לפי חשיבות היום, ובימי עבודה לא מוסיפים כדי לא להטריח את הציבור.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QQS14QQ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דברים שבקדושה וסדר הקריאה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ג–ד.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האם אפשר?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אפשר / אי אפשר, והסבירו.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1415"/>
              <w:gridCol w:w="4246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המקרה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אפשר?</w:t>
                  </w:r>
                </w:p>
              </w:tc>
              <w:tc>
                <w:tcPr>
                  <w:tcW w:type="dxa" w:w="424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הסבר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בבית הכנסת יש תשעה מתפללים. רוצים לקרוא בתורה.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 אפשר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קריאת התורה – לא בפחות מעשרה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שלושה גברים אכלו יחד ורוצים לזמן «נברך אלהינו».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 אפשר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מזמנין בשם – רק בעשרה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עשרה מתפללים הגיעו אחרי שהציבור כבר קרא שמע.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אפשר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אחד מהם פורס על שמע – אומר קדיש, ברכו וברכה ראשונה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רוצים לפדות שדה של הקדש עם עשרה ישראלים, בלי כהן.</w:t>
                  </w:r>
                </w:p>
              </w:tc>
              <w:tc>
                <w:tcPr>
                  <w:tcW w:type="dxa" w:w="141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 אפשר </w:t>
                  </w:r>
                </w:p>
              </w:tc>
              <w:tc>
                <w:tcPr>
                  <w:tcW w:type="dxa" w:w="4246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צריך תשעה וכהן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מבינים את המילה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מסביר את המילה «פורסין»: לשון פרוסה, כלומר חצי דבר. מה ה«חצי» כאן?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משתי הברכות שלפני קריאת שמע אומרים רק ברכה אחת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קריאה ותרגום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הקורא קרא בתורה שני פסוקים בלבד ועצר. מה הדין?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לא יפחת משלשה פסוקים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הקורא בתורה קרא למתרגם שלושה פסוקים ברצף. האם נהג כראוי? למה?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לא. בתורה קוראים למתרגם רק פסוק אחד, כדי שלא יטעה המתרגם, שמתרגם בעל פה.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בהפטרה קרא המפטיר שלושה פסוקים ברצף למתרגם. האם מותר?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כן – «ובנביא שלשה»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המשנה אומרת: «היו שלשתן שלש פרשיות, קורין אחד אחד». מה הכוונה?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אם כל אחד משלושת הפסוקים בנביא הוא פרשה (עניין) נפרדת, קוראים למתרגם פסוק אחד בכל פעם.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לדלג או לא?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7430"/>
                    <w:gridCol w:w="2476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7430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המקרה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מותר / אסור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בנביא – לדלג מפרשה לפרשה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מותר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בתורה – לדלג מעניין לעניין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בתורה – לדלג בתוך אותו עניין, כמו הכהן הגדול ביום הכיפורים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מותר (ברטנורא)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7430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לדלג כך שהציבור יחכה זמן רב בשקט</w:t>
                        </w:r>
                      </w:p>
                    </w:tc>
                    <w:tc>
                      <w:tcPr>
                        <w:tcW w:type="dxa" w:w="2476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אסור – «עד כדי שלא יפסק התרגמן»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עשרה הם ציבור, ובקריאת התורה מקפידים יותר מבנביא – כי מן התורה לומדים הלכה.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QQS15QQ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המפטיר והקטן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ה–ו.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יוסי בן עשר קורא יפה מאוד. האם יכול לעלות לתורה ולקרוא?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כן – «קטן קורא בתורה»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האם יוסי יכול להיות שליח ציבור בתפילת שחרית? למה?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לא. קטן אינו עובר לפני התיבה, כי אינו חייב במצוה ולכן אינו מוציא את הרבים.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יוסי הפטיר בנביא. מי יעבור לפני התיבה במקומו?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אביו או רבו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לבית הכנסת הגיע אדם בבגדים קרועים. מה מותר לו ומה אסור לו?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מותר: לפרוס על שמע ולתרגם (כי הוא חייב). אסור: לקרוא בתורה, לעבור לפני התיבה ולשאת כפיו – מפני כבוד התורה והציבור.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עיוור מלידה רוצה לפרוס על שמע. מה אומר תנא קמא ומה אומר רבי יהודה? כמי ההלכה?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תנא קמא: פורס, כי נהנה מן המאורות – אנשים רואים ועוזרים לו. רבי יהודה: מי שלא ראה מאורות מימיו אינו פורס. ההלכה כתנא קמא (ברטנורא: ואין הלכה כר"י).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שני טעמים – שני כללים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לפניכם שני כללים. כתבו ליד כל דין את מספר הכלל שלו.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כלל 1: מי שאינו חייב – אינו מוציא את הרבים. כלל 2: מפני כבוד התורה והציבור.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925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792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הדין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קטן אינו פורס על שמע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פוחח אינו קורא בתורה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קטן אינו עובר לפני התיבה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792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פוחח אינו נושא את כפיו</w:t>
                  </w:r>
                </w:p>
              </w:tc>
              <w:tc>
                <w:tcPr>
                  <w:tcW w:type="dxa" w:w="198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חושבים לעומק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הברטנורא מביא דעה מן הגאונים: קטן קורא «דוקא משלישי ואילך». מה אפשר להבין מכך על העליות הראשונות?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העליות הראשונות (כהן ולוי) חשובות יותר, ולכן לפי דעה זו קטן עולה רק מן העלייה השלישית.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המפטיר מקבל כבוד להוביל את התפילה; קטן קורא בתורה אך אינו מוציא אחרים, ופוחח אינו עומד לפני הציבור מפני הכבוד.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QQS16QQ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נשיאת כפיים ושליח הציבור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ז–ח.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כהן שעובד בצביעת בדים, ידיו צבועות בכחול. האם ישא את כפיו לפי רבי יהודה?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לא – «מפני שהעם מסתכלין בו»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באותה עיר רוב האנשים עובדים בצביעה, וכולם רגילים בכך. מה הדין עכשיו לפי הברטנורא? למה?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מותר – כשהוא «דש בעירו» או שרוב אנשי העיר מלאכתן בכך, שוב אין מסתכלים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אומר לגבאי: «אני מוכן להיות שליח ציבור רק אם אוכל לעמוד יחף». מה הדין?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«בסנדל איני עובר, אף יחף לא יעבר»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המשנה חוששת מאדם שמתעקש כך? (ברטנורא)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חוששים שמינות נזרקה בו – הוא הושפע מן המינים שמקפידים בכך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נכון או לא נכון? – תפילין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403"/>
                    <w:gridCol w:w="1101"/>
                    <w:gridCol w:w="44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440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המעשה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כשר / פסול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למה?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מרובעות על הראש במקום השער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כשר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כך למדו חכמים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עגולות כמו אגוז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פסול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«סכנה, ואין בה מצוה»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של יד על כף היד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פסול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«דרך המינות»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מצופות זהב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פסול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«דרך החיצונים» – הכל מעור בהמה טהורה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4403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תפילין של יד על השרוול</w:t>
                        </w:r>
                      </w:p>
                    </w:tc>
                    <w:tc>
                      <w:tcPr>
                        <w:tcW w:type="dxa" w:w="110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פסול </w:t>
                        </w:r>
                      </w:p>
                    </w:tc>
                    <w:tc>
                      <w:tcPr>
                        <w:tcW w:type="dxa" w:w="44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«דרך החיצונים» – לך לאות ולא לאחרים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מי הם?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מה ההבדל בין ה«מינים» ובין ה«חיצונים» לפי הברטנורא?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7429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הקבוצה</w:t>
                  </w:r>
                </w:p>
              </w:tc>
              <w:tc>
                <w:tcPr>
                  <w:tcW w:type="dxa" w:w="7429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מינים</w:t>
                  </w:r>
                </w:p>
              </w:tc>
              <w:tc>
                <w:tcPr>
                  <w:tcW w:type="dxa" w:w="7429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בוזים דברי חכמים והולכים אחר משמעות המקרא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חיצונים</w:t>
                  </w:r>
                </w:p>
              </w:tc>
              <w:tc>
                <w:tcPr>
                  <w:tcW w:type="dxa" w:w="7429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הולכים אחר דעתם, חוץ מדעת החכמים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חפשו בברטנורא: באיזה מקום ביד מניחים תפילין, ולמה דווקא שם?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«בגובה היד, קיבורת בראש הזרוע, שתהא כנגד הלב».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נשיאת כפיים צריכה ריכוז של הציבור, ומצוות התפילין נעשית רק כפי שקיבלו חכמים.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QQS17QQ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נוסחים שאין אומרים, ופרשיות שאין מתרגמים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במשנה פרק ד משניות ט–י.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שליח הציבור טעה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בכל מקרה כתבו: מה אמר? למה משתיקים אותו? (לפי הברטנורא)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566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שליח הציבור?</w:t>
                  </w:r>
                </w:p>
              </w:tc>
              <w:tc>
                <w:tcPr>
                  <w:tcW w:type="dxa" w:w="566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למה משתיקים אותו?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«על קן צפור יגיעו רחמיך»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עושה את מצוות ה' רחמים, והן גזירות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«ועל טוב יזכר שמך»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חייבים לברך על הרעה כשם שמברכין על הטובה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«מודים מודים»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נראה כמודה בשתי רשויות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«יברכוך טובים»</w:t>
                  </w:r>
                </w:p>
              </w:tc>
              <w:tc>
                <w:tcPr>
                  <w:tcW w:type="dxa" w:w="5661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צריך לצרף גם את פושעי ישראל לציבור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הברטנורא משווה את פושעי ישראל לחלבנה בקטורת. הסבירו את ההשוואה.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לחלבנה ריח רע, ובכל זאת התורה מנתה אותה עם סממני הקטורת. כך גם מי שחטא – הוא חלק מן הציבור ומתפלל יחד עם כולם.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נקרא? מתורגם?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5944"/>
                    <w:gridCol w:w="1981"/>
                    <w:gridCol w:w="1981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5944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הפרשה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נקרא?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מתורגם?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מעשה העגל הראשון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כן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כן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מעשה העגל השני (אהרן)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כן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5944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ברכת כהנים (לפי הברטנורא)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כן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לא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מה העיקרון המשותף לפרשיות שקוראים ולא מתרגמים?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שמירה על כבוד, או מניעת הבנה לא נכונה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למה מעשה העגל הראשון כן מתורגם, אף שיש בו גנות לישראל?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«ולא חיישינן ליקרא דישראל» – לא חוששים כאן לכבוד ישראל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מחלוקות בסוף המסכת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302"/>
                    <w:gridCol w:w="3302"/>
                    <w:gridCol w:w="330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השאלה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הדעות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ההלכה (ברטנורא)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להפטיר במרכבה?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תנא קמא: אין מפטירין; רבי יהודה: מתיר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כרבי יהודה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להפטיר ב«הודע את ירושלים»?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רבי אליעזר: אין מפטירין </w:t>
                        </w:r>
                      </w:p>
                    </w:tc>
                    <w:tc>
                      <w:tcPr>
                        <w:tcW w:type="dxa" w:w="330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אין הלכה כרבי אליעזר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F3F0F2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שווה לדעת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ואכן, את פרק המרכבה (יחזקאל א) מפטירים בחג השבועות.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נוסח התפילה מבטא אמונה נכונה, והתרגום בציבור שומר על כבוד ועל הבנה נכונה.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40"/>
      </w:pPr>
      <w:r>
        <w:rPr>
          <w:rFonts w:ascii="Arial" w:cs="Arial" w:eastAsia="Arial" w:hAnsi="Arial"/>
          <w:color w:val="FDF8F2"/>
          <w:sz w:val="2"/>
          <w:szCs w:val="2"/>
        </w:rPr>
        <w:t xml:space="preserve">QQS18QQ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0" w:before="42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4"/>
                <w:szCs w:val="24"/>
                <w:rtl/>
              </w:rPr>
              <w:t xml:space="preserve">פרק רביעי – הקורא עומד</w:t>
            </w:r>
          </w:p>
          <w:p>
            <w:pPr>
              <w:keepNext/>
              <w:keepLines/>
              <w:bidi/>
              <w:spacing w:after="60" w:before="0" w:line="24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51"/>
                <w:szCs w:val="51"/>
                <w:rtl/>
              </w:rPr>
              <w:t xml:space="preserve">חזרה – פרק רביעי</w:t>
            </w:r>
          </w:p>
          <w:p>
            <w:pPr>
              <w:keepNext/>
              <w:bidi/>
              <w:spacing w:after="200" w:before="0"/>
              <w:jc w:val="both"/>
            </w:pPr>
            <w:r>
              <w:drawing>
                <wp:inline distT="0" distB="0" distL="0" distR="0">
                  <wp:extent cx="1143000" cy="857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עיינו בפרק ד כולו – «הקורא עומד».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מה הדין? – מקרים מן הפרק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בשבת במנחה רוצים להעלות ארבעה אנשים. </w:t>
            </w: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u w:val="single" w:color="B3261E"/>
                <w:rtl/>
              </w:rPr>
              <w:t xml:space="preserve"> אסור – בשבת במנחה קורין שלשה, אין מוסיפין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2.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במניין של תשעה רוצים לומר קדיש.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אסור – דבר שבקדושה רק בעשרה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ילד בן 11 רוצה לעלות לתורה.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מותר – קטן קורא בתורה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המתרגם מקבל מן הקורא שלושה פסוקים מן התורה בבת אחת.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אסור – בתורה פסוק אחד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אדם שם תפילין של ראש על המצח.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דרך המינות – פסול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A3541C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שליח הציבור אמר «מודים מודים».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משתקין אותו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D08A2E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uez One" w:cs="Suez One" w:eastAsia="Suez One" w:hAnsi="Suez One"/>
                      <w:b w:val="false"/>
                      <w:color w:val="5B2245"/>
                      <w:sz w:val="26"/>
                      <w:szCs w:val="26"/>
                      <w:rtl/>
                    </w:rPr>
                    <w:t xml:space="preserve">טבלת סיכום – מי מה עושה?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3962"/>
                    <w:gridCol w:w="1981"/>
                    <w:gridCol w:w="1981"/>
                    <w:gridCol w:w="1982"/>
                  </w:tblGrid>
                  <w:tr>
                    <w:trPr>
                      <w:cantSplit/>
                      <w:tblHeader/>
                    </w:trPr>
                    <w:tc>
                      <w:tcPr>
                        <w:tcW w:type="dxa" w:w="396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מי?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קורא בתורה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פורס על שמע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5B2245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3"/>
                            <w:szCs w:val="23"/>
                            <w:rtl/>
                          </w:rPr>
                          <w:t xml:space="preserve">נושא כפיו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קטן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✔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✘ 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✘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פוחח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✘ 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✔ 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BF7F9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✘ </w:t>
                        </w:r>
                      </w:p>
                    </w:tc>
                  </w:tr>
                  <w:tr>
                    <w:trPr>
                      <w:cantSplit/>
                      <w:tblHeader w:val="false"/>
                      <w:trHeight w:val="500" w:hRule="atLeast"/>
                    </w:trPr>
                    <w:tc>
                      <w:tcPr>
                        <w:tcW w:type="dxa" w:w="396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shd w:fill="F6EDF2" w:color="auto" w:val="clear"/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כהן עם מום בידיו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—</w:t>
                        </w:r>
                      </w:p>
                    </w:tc>
                    <w:tc>
                      <w:tcPr>
                        <w:tcW w:type="dxa" w:w="1981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2A1F28"/>
                            <w:sz w:val="23"/>
                            <w:szCs w:val="23"/>
                            <w:rtl/>
                          </w:rPr>
                          <w:t xml:space="preserve">—</w:t>
                        </w:r>
                      </w:p>
                    </w:tc>
                    <w:tc>
                      <w:tcPr>
                        <w:tcW w:type="dxa" w:w="1982"/>
                        <w:tcBorders>
                          <w:top w:val="single" w:color="D9C9D3" w:sz="4"/>
                          <w:left w:val="single" w:color="D9C9D3" w:sz="4"/>
                          <w:bottom w:val="single" w:color="D9C9D3" w:sz="4"/>
                          <w:right w:val="single" w:color="D9C9D3" w:sz="4"/>
                        </w:tcBorders>
                        <w:tcMar>
                          <w:top w:type="dxa" w:w="70"/>
                          <w:left w:type="dxa" w:w="110"/>
                          <w:bottom w:type="dxa" w:w="7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B3261E"/>
                            <w:sz w:val="23"/>
                            <w:szCs w:val="23"/>
                            <w:u w:val="single" w:color="B3261E"/>
                            <w:rtl/>
                          </w:rPr>
                          <w:t xml:space="preserve"> ✘ 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4"/>
                      <w:szCs w:val="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26"/>
                <w:szCs w:val="26"/>
                <w:rtl/>
              </w:rPr>
              <w:t xml:space="preserve">מה ההבדל?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השוו בין ראש חודש ליום טוב בשלושה דברים: מספר העולים, הוספה, הפטרה.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  <w:tblHeader/>
              </w:trPr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הנושא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ראש חודש</w:t>
                  </w:r>
                </w:p>
              </w:tc>
              <w:tc>
                <w:tcPr>
                  <w:tcW w:type="dxa" w:w="33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5B2245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יום טוב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מספר העולים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הוספה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אין מוסיפין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BF7F9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מוסיפין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shd w:fill="F6ED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23"/>
                      <w:szCs w:val="23"/>
                      <w:rtl/>
                    </w:rPr>
                    <w:t xml:space="preserve">הפטרה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אין </w:t>
                  </w:r>
                </w:p>
              </w:tc>
              <w:tc>
                <w:tcPr>
                  <w:tcW w:type="dxa" w:w="3302"/>
                  <w:tcBorders>
                    <w:top w:val="single" w:color="D9C9D3" w:sz="4"/>
                    <w:left w:val="single" w:color="D9C9D3" w:sz="4"/>
                    <w:bottom w:val="single" w:color="D9C9D3" w:sz="4"/>
                    <w:right w:val="single" w:color="D9C9D3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יש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4"/>
                      <w:szCs w:val="24"/>
                      <w:rtl/>
                    </w:rPr>
                    <w:t xml:space="preserve">  במשפט אחד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הפרק כולו שומר על סדר קריאת התורה ועל כבוד התורה, התפילה והציבור.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spacing w:after="0" w:before="0" w:line="68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20" w:before="0" w:line="30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60"/>
          <w:szCs w:val="60"/>
          <w:rtl/>
        </w:rPr>
        <w:t xml:space="preserve">מסכת מגילה</w:t>
      </w:r>
    </w:p>
    <w:p>
      <w:pPr>
        <w:keepNext w:val="false"/>
        <w:keepLines/>
        <w:bidi/>
        <w:spacing w:after="6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5CF8A"/>
          <w:sz w:val="26"/>
          <w:szCs w:val="26"/>
          <w:rtl/>
        </w:rPr>
        <w:t xml:space="preserve">כיתה ז' · דפי עבודה – מחוון</w:t>
      </w:r>
    </w:p>
    <w:p>
      <w:pPr>
        <w:keepNext w:val="false"/>
        <w:bidi/>
        <w:spacing w:after="240" w:before="0"/>
        <w:jc w:val="center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28"/>
          <w:szCs w:val="28"/>
          <w:rtl/>
        </w:rPr>
        <w:t xml:space="preserve">בחוברת: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00"/>
        <w:gridCol w:w="1600"/>
        <w:gridCol w:w="1600"/>
        <w:gridCol w:w="1600"/>
        <w:gridCol w:w="16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לשון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מילון המשנה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תרשים כאמד"ט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עיון בברטנורא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"/>
              <w:bottom w:type="dxa" w:w="40"/>
              <w:right w:type="dxa" w:w="40"/>
            </w:tcMar>
          </w:tcPr>
          <w:p>
            <w:pPr>
              <w:keepNext w:val="false"/>
              <w:bidi/>
              <w:spacing w:after="60" w:before="0"/>
              <w:jc w:val="center"/>
            </w:pPr>
            <w:r>
              <w:drawing>
                <wp:inline distT="0" distB="0" distL="0" distR="0">
                  <wp:extent cx="361950" cy="361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3"/>
                <w:szCs w:val="23"/>
                <w:rtl/>
              </w:rPr>
              <w:t xml:space="preserve">המשנה בחיינו</w:t>
            </w:r>
          </w:p>
        </w:tc>
      </w:tr>
    </w:tbl>
    <w:p>
      <w:pPr>
        <w:spacing w:after="0" w:before="0" w:line="4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BF6EA" w:color="auto" w:val="clear"/>
            <w:tcMar>
              <w:top w:type="dxa" w:w="220"/>
              <w:left w:type="dxa" w:w="300"/>
              <w:bottom w:type="dxa" w:w="200"/>
              <w:right w:type="dxa" w:w="300"/>
            </w:tcMar>
          </w:tcPr>
          <w:p>
            <w:pPr>
              <w:keepNext w:val="false"/>
              <w:keepLines/>
              <w:bidi/>
              <w:spacing w:after="40" w:before="0" w:line="30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38"/>
                <w:szCs w:val="38"/>
                <w:rtl/>
              </w:rPr>
              <w:t xml:space="preserve">הֲדְרָן עֲלָךְ מַסֶּכֶת מְגִלָּה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A3541C"/>
                <w:sz w:val="22"/>
                <w:szCs w:val="22"/>
                <w:rtl/>
              </w:rPr>
              <w:t xml:space="preserve">וְהַדְרָךְ עֲלָן, דַּעְתָּן עֲלָךְ וְדַעְתָּךְ עֲלָן</w:t>
            </w:r>
          </w:p>
        </w:tc>
      </w:tr>
    </w:tbl>
    <w:sectPr>
      <w:headerReference w:type="default" r:id="rId12"/>
      <w:footerReference w:type="default" r:id="rId13"/>
      <w:pgSz w:w="11906" w:h="16838" w:orient="portrait"/>
      <w:pgMar w:top="700" w:right="1000" w:bottom="900" w:left="1000" w:header="30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7d0d4429-3b2e-85b8-1abd-10139fdf9e3d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64cbb236-0713-a928-9e40-b3117d580155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4bd9f99-b890-adee-0bce-a14d2935cbd7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cdeb05f-a1b9-82b5-843d-f420eb407446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19d374f7-c4d7-c977-6463-4ef251bb2858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a7ca41f4-5ad7-bd60-d757-1036d6b376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/>
      <w:jc w:val="center"/>
    </w:pPr>
    <w:r>
      <w:rPr>
        <w:rFonts w:ascii="Suez One" w:cs="Suez One" w:eastAsia="Suez One" w:hAnsi="Suez One"/>
        <w:b w:val="false"/>
        <w:color w:val="F5CF8A"/>
        <w:sz w:val="23"/>
        <w:szCs w:val="23"/>
        <w:rtl/>
      </w:rPr>
      <w:t xml:space="preserve">מסכת מגילה</w:t>
    </w:r>
    <w:r>
      <w:rPr>
        <w:rFonts w:ascii="Rubik MG" w:cs="Rubik MG" w:eastAsia="Rubik MG" w:hAnsi="Rubik MG"/>
        <w:b w:val="false"/>
        <w:color w:val="D6E0EE"/>
        <w:sz w:val="22"/>
        <w:szCs w:val="22"/>
        <w:rtl/>
      </w:rPr>
      <w:t xml:space="preserve">   ·   דפי עבודה – מחוון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תוכן העניינים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דפי עבודה –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מחוון למורה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image" Target="media/983c6e60f424ea5bfadbb0c1033ab03008ff6c85.png"/><Relationship Id="rId15" Type="http://schemas.openxmlformats.org/officeDocument/2006/relationships/image" Target="media/2fea3d8dc662858d4460d284f6f5a04e8d1b37b4.png"/><Relationship Id="rId16" Type="http://schemas.openxmlformats.org/officeDocument/2006/relationships/image" Target="media/2ea35fa7d287cff5873634f10b64d85b627e4bbb.png"/><Relationship Id="rId17" Type="http://schemas.openxmlformats.org/officeDocument/2006/relationships/image" Target="media/443a7023b8aff9e421c61b718f109458ae6c71d6.png"/><Relationship Id="rId18" Type="http://schemas.openxmlformats.org/officeDocument/2006/relationships/image" Target="media/286578c0492e86927821787b69aea079183328f9.png"/><Relationship Id="rId19" Type="http://schemas.openxmlformats.org/officeDocument/2006/relationships/image" Target="media/78c63c7f22c8e8e8f315e64fbaae29a2db810581.png"/><Relationship Id="rId20" Type="http://schemas.openxmlformats.org/officeDocument/2006/relationships/image" Target="media/04e1d107950a7b1d4767e168d1644ccfbe30cf4e.png"/><Relationship Id="rId21" Type="http://schemas.openxmlformats.org/officeDocument/2006/relationships/image" Target="media/5c9730f7897575879e371ff6f107592a28dc1d37.png"/><Relationship Id="rId22" Type="http://schemas.openxmlformats.org/officeDocument/2006/relationships/image" Target="media/5e37d74bfd88ffbc0f7f41bf0785a3be32ac444f.png"/><Relationship Id="rId23" Type="http://schemas.openxmlformats.org/officeDocument/2006/relationships/image" Target="media/a272f67d02e23e1866b47c4fe44344864255b315.png"/><Relationship Id="rId24" Type="http://schemas.openxmlformats.org/officeDocument/2006/relationships/image" Target="media/6ad6b8d31549ecb22cffc0933f243384f1958477.png"/><Relationship Id="rId25" Type="http://schemas.openxmlformats.org/officeDocument/2006/relationships/image" Target="media/33436656f45836a125d98517f86a239747e5fd79.png"/><Relationship Id="rId26" Type="http://schemas.openxmlformats.org/officeDocument/2006/relationships/image" Target="media/5eaf52b9b26bf3e4a8f3b82af5d4a5597fa65e2f.png"/><Relationship Id="rId27" Type="http://schemas.openxmlformats.org/officeDocument/2006/relationships/image" Target="media/74ad6ad806bbafdfb24a0832bd945d24c1ce4540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d7a910f395dafe263fecea5025cf4e8a2bb6aab8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מסכת מגילה – דפי עבודה – מחוון</dc:title>
  <cp:revision>1</cp:revision>
  <dcterms:created xsi:type="dcterms:W3CDTF">2026-10-23T04:24:19.197Z</dcterms:created>
  <dcterms:modified xsi:type="dcterms:W3CDTF">2026-10-23T04:24:19.197Z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