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shd w:val="clear" w:color="auto" w:fill="7A3E12"/>
            <w:tcMar>
              <w:top w:w="141" w:type="dxa"/>
              <w:left w:w="226" w:type="dxa"/>
              <w:bottom w:w="141" w:type="dxa"/>
              <w:right w:w="226" w:type="dxa"/>
            </w:tcMar>
            <w:vAlign w:val="center"/>
          </w:tcPr>
          <w:p>
            <w:pPr>
              <w:bidi/>
              <w:spacing w:before="0" w:after="0"/>
              <w:jc w:val="both"/>
            </w:pPr>
            <w:r>
              <w:rPr>
                <w:rFonts w:ascii="Frank Ruhl Libre" w:hAnsi="Frank Ruhl Libre" w:cs="Frank Ruhl Libre" w:eastAsia="Frank Ruhl Libre"/>
                <w:b/>
                <w:bCs/>
                <w:color w:val="FFFFFF"/>
                <w:sz w:val="48"/>
                <w:szCs w:val="48"/>
                <w:rtl/>
              </w:rPr>
              <w:t>נֵר חֲנֻכָּה – דף לימוד</w:t>
            </w:r>
          </w:p>
          <w:p>
            <w:pPr>
              <w:bidi/>
              <w:spacing w:before="40" w:after="0"/>
              <w:jc w:val="both"/>
            </w:pPr>
            <w:r>
              <w:rPr>
                <w:rFonts w:ascii="David Libre" w:hAnsi="David Libre" w:cs="David Libre" w:eastAsia="David Libre"/>
                <w:color w:val="FFFFFF"/>
                <w:sz w:val="26"/>
                <w:szCs w:val="26"/>
                <w:rtl/>
              </w:rPr>
              <w:t>גמרא לכיתה ז' · מסכת שבת דף כא ע"ב · סוגיות חנוכה</w:t>
            </w:r>
          </w:p>
        </w:tc>
      </w:tr>
    </w:tbl>
    <w:p>
      <w:pPr>
        <w:bidi/>
        <w:spacing w:before="0" w:after="0"/>
        <w:jc w:val="both"/>
      </w:pPr>
      <w:r>
        <w:rPr>
          <w:rFonts w:ascii="Noto Sans Hebrew" w:hAnsi="Noto Sans Hebrew" w:cs="Noto Sans Hebrew" w:eastAsia="Noto Sans Hebrew"/>
          <w:sz w:val="12"/>
          <w:szCs w:val="12"/>
          <w:rtl/>
        </w:rPr>
        <w:t xml:space="preserve"> </w:t>
      </w:r>
    </w:p>
    <w:p>
      <w:pPr>
        <w:bidi/>
        <w:spacing w:before="0" w:after="80" w:line="276" w:lineRule="auto"/>
        <w:jc w:val="both"/>
      </w:pPr>
      <w:r>
        <w:rPr>
          <w:rFonts w:ascii="David Libre" w:hAnsi="David Libre" w:cs="David Libre" w:eastAsia="David Libre"/>
          <w:sz w:val="26"/>
          <w:szCs w:val="26"/>
          <w:rtl/>
        </w:rPr>
        <w:t>המסכת שבת, בפרק השני («במה מדליקין»), דנה בנרות שמדליקים לכבוד שבת – באילו שמנים ופתילות מותר להשתמש. אגב הדיון בנרות, הגמרא עוברת לדבר על נר אחר: נר חנוכה. בדף זה נלמד ארבעה קטעים: כמה נרות מדליקים, מה עומד מאחורי מחלוקת בית שמאי ובית הלל, איפה מניחים את הנר, ומה בעצם קרה בחנוכה.</w:t>
      </w:r>
    </w:p>
    <w:p>
      <w:pPr>
        <w:keepNext/>
        <w:bidi/>
        <w:spacing w:before="160" w:after="60"/>
        <w:jc w:val="both"/>
      </w:pPr>
      <w:r>
        <w:rPr>
          <w:rFonts w:ascii="Frank Ruhl Libre" w:hAnsi="Frank Ruhl Libre" w:cs="Frank Ruhl Libre" w:eastAsia="Frank Ruhl Libre"/>
          <w:b/>
          <w:bCs/>
          <w:color w:val="7A3E12"/>
          <w:sz w:val="32"/>
          <w:szCs w:val="32"/>
          <w:rtl/>
        </w:rPr>
        <w:t>1</w:t>
      </w:r>
      <w:r>
        <w:rPr>
          <w:rFonts w:ascii="Frank Ruhl Libre" w:hAnsi="Frank Ruhl Libre" w:cs="Frank Ruhl Libre" w:eastAsia="Frank Ruhl Libre"/>
          <w:b/>
          <w:bCs/>
          <w:color w:val="7A3E12"/>
          <w:sz w:val="32"/>
          <w:szCs w:val="32"/>
          <w:rtl/>
        </w:rPr>
        <w:t>. שלוש דרגות בקיום המצווה</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nil" w:sz="0" w:space="0" w:color="FFFFFF"/>
              <w:left w:val="nil" w:sz="0" w:space="0" w:color="FFFFFF"/>
              <w:bottom w:val="nil" w:sz="0" w:space="0" w:color="FFFFFF"/>
              <w:right w:val="single" w:sz="24" w:space="0" w:color="7A3E12"/>
            </w:tcBorders>
            <w:shd w:val="clear" w:color="auto" w:fill="FBF3EA"/>
            <w:tcMar>
              <w:top w:w="113" w:type="dxa"/>
              <w:left w:w="198" w:type="dxa"/>
              <w:bottom w:w="113" w:type="dxa"/>
              <w:right w:w="198" w:type="dxa"/>
            </w:tcMar>
            <w:vAlign w:val="center"/>
          </w:tcPr>
          <w:p>
            <w:pPr>
              <w:bidi/>
              <w:spacing w:before="0" w:after="40"/>
              <w:jc w:val="both"/>
            </w:pPr>
            <w:r>
              <w:rPr>
                <w:rFonts w:ascii="Frank Ruhl Libre" w:hAnsi="Frank Ruhl Libre" w:cs="Frank Ruhl Libre" w:eastAsia="Frank Ruhl Libre"/>
                <w:b/>
                <w:bCs/>
                <w:color w:val="7A3E12"/>
                <w:sz w:val="22"/>
                <w:szCs w:val="22"/>
                <w:rtl/>
              </w:rPr>
              <w:t>הגמרא</w:t>
            </w:r>
          </w:p>
          <w:p>
            <w:pPr>
              <w:bidi/>
              <w:spacing w:before="0" w:after="0" w:line="300" w:lineRule="auto"/>
              <w:jc w:val="both"/>
            </w:pPr>
            <w:r>
              <w:rPr>
                <w:rFonts w:ascii="Frank Ruhl Libre" w:hAnsi="Frank Ruhl Libre" w:cs="Frank Ruhl Libre" w:eastAsia="Frank Ruhl Libre"/>
                <w:sz w:val="30"/>
                <w:szCs w:val="30"/>
                <w:rtl/>
              </w:rPr>
              <w:t>ת"ר מצות חנוכה נר איש וביתו והמהדרין נר לכל אחד ואחד והמהדרין מן המהדרין ב"ש אומרים יום ראשון מדליק שמנה מכאן ואילך פוחת והולך וב"ה אומרים יום ראשון מדליק אחת מכאן ואילך מוסיף והולך</w:t>
            </w:r>
          </w:p>
          <w:p>
            <w:pPr>
              <w:bidi/>
              <w:spacing w:before="40" w:after="0"/>
              <w:jc w:val="both"/>
            </w:pPr>
            <w:r>
              <w:rPr>
                <w:rFonts w:ascii="David Libre" w:hAnsi="David Libre" w:cs="David Libre" w:eastAsia="David Libre"/>
                <w:color w:val="666666"/>
                <w:sz w:val="20"/>
                <w:szCs w:val="20"/>
                <w:rtl/>
              </w:rPr>
              <w:t>תלמוד בבלי, מסכת שבת דף כא ע"ב (נוסח: ויקיטקסט – he.wikisource.org/wiki/שבת_כא_ב)</w:t>
            </w:r>
          </w:p>
        </w:tc>
      </w:tr>
    </w:tbl>
    <w:p>
      <w:pPr>
        <w:bidi/>
        <w:spacing w:before="0" w:after="0"/>
        <w:jc w:val="both"/>
      </w:pPr>
      <w:r>
        <w:rPr>
          <w:rFonts w:ascii="Noto Sans Hebrew" w:hAnsi="Noto Sans Hebrew" w:cs="Noto Sans Hebrew" w:eastAsia="Noto Sans Hebrew"/>
          <w:sz w:val="10"/>
          <w:szCs w:val="10"/>
          <w:rtl/>
        </w:rPr>
        <w:t xml:space="preserve"> </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single" w:sz="4" w:space="0" w:color="C8B27A"/>
              <w:left w:val="single" w:sz="4" w:space="0" w:color="C8B27A"/>
              <w:bottom w:val="single" w:sz="4" w:space="0" w:color="C8B27A"/>
              <w:right w:val="single" w:sz="4" w:space="0" w:color="C8B27A"/>
            </w:tcBorders>
            <w:shd w:val="clear" w:color="auto" w:fill="FBF7EE"/>
            <w:tcMar>
              <w:top w:w="85" w:type="dxa"/>
              <w:left w:w="170" w:type="dxa"/>
              <w:bottom w:w="85" w:type="dxa"/>
              <w:right w:w="170" w:type="dxa"/>
            </w:tcMar>
            <w:vAlign w:val="center"/>
          </w:tcPr>
          <w:p>
            <w:pPr>
              <w:bidi/>
              <w:spacing w:before="0" w:after="40"/>
              <w:jc w:val="both"/>
            </w:pPr>
            <w:r>
              <w:rPr>
                <w:rFonts w:ascii="Frank Ruhl Libre" w:hAnsi="Frank Ruhl Libre" w:cs="Frank Ruhl Libre" w:eastAsia="Frank Ruhl Libre"/>
                <w:b/>
                <w:bCs/>
                <w:color w:val="8A6D1F"/>
                <w:sz w:val="22"/>
                <w:szCs w:val="22"/>
                <w:rtl/>
              </w:rPr>
              <w:t>רש"י:</w:t>
            </w:r>
          </w:p>
          <w:p>
            <w:pPr>
              <w:bidi/>
              <w:spacing w:before="0" w:after="20" w:line="276" w:lineRule="auto"/>
              <w:jc w:val="both"/>
            </w:pPr>
            <w:r>
              <w:rPr>
                <w:rFonts w:ascii="Frank Ruhl Libre" w:hAnsi="Frank Ruhl Libre" w:cs="Frank Ruhl Libre" w:eastAsia="Frank Ruhl Libre"/>
                <w:b/>
                <w:bCs/>
                <w:sz w:val="25"/>
                <w:szCs w:val="25"/>
                <w:rtl/>
              </w:rPr>
              <w:t xml:space="preserve">נר איש וביתו – </w:t>
            </w:r>
            <w:r>
              <w:rPr>
                <w:rFonts w:ascii="Frank Ruhl Libre" w:hAnsi="Frank Ruhl Libre" w:cs="Frank Ruhl Libre" w:eastAsia="Frank Ruhl Libre"/>
                <w:sz w:val="25"/>
                <w:szCs w:val="25"/>
                <w:rtl/>
              </w:rPr>
              <w:t>נר אחד בכל לילה ואיש וכל בני ביתו סגי להו בנר אחד</w:t>
            </w:r>
          </w:p>
          <w:p>
            <w:pPr>
              <w:bidi/>
              <w:spacing w:before="0" w:after="20" w:line="276" w:lineRule="auto"/>
              <w:jc w:val="both"/>
            </w:pPr>
            <w:r>
              <w:rPr>
                <w:rFonts w:ascii="Frank Ruhl Libre" w:hAnsi="Frank Ruhl Libre" w:cs="Frank Ruhl Libre" w:eastAsia="Frank Ruhl Libre"/>
                <w:b/>
                <w:bCs/>
                <w:sz w:val="25"/>
                <w:szCs w:val="25"/>
                <w:rtl/>
              </w:rPr>
              <w:t xml:space="preserve">והמהדרין – </w:t>
            </w:r>
            <w:r>
              <w:rPr>
                <w:rFonts w:ascii="Frank Ruhl Libre" w:hAnsi="Frank Ruhl Libre" w:cs="Frank Ruhl Libre" w:eastAsia="Frank Ruhl Libre"/>
                <w:sz w:val="25"/>
                <w:szCs w:val="25"/>
                <w:rtl/>
              </w:rPr>
              <w:t>אחר המצות עושין נר אחד בכל לילה לכל אחד ואחד מבני הבית</w:t>
            </w:r>
          </w:p>
          <w:p>
            <w:pPr>
              <w:bidi/>
              <w:spacing w:before="40" w:after="0"/>
              <w:jc w:val="both"/>
            </w:pPr>
            <w:r>
              <w:rPr>
                <w:rFonts w:ascii="David Libre" w:hAnsi="David Libre" w:cs="David Libre" w:eastAsia="David Libre"/>
                <w:color w:val="666666"/>
                <w:sz w:val="20"/>
                <w:szCs w:val="20"/>
                <w:rtl/>
              </w:rPr>
              <w:t>רש"י, שבת כא ע"ב (ויקיטקסט)</w:t>
            </w:r>
          </w:p>
        </w:tc>
      </w:tr>
    </w:tbl>
    <w:p>
      <w:pPr>
        <w:bidi/>
        <w:spacing w:before="0" w:after="0"/>
        <w:jc w:val="both"/>
      </w:pPr>
      <w:r>
        <w:rPr>
          <w:rFonts w:ascii="Noto Sans Hebrew" w:hAnsi="Noto Sans Hebrew" w:cs="Noto Sans Hebrew" w:eastAsia="Noto Sans Hebrew"/>
          <w:sz w:val="10"/>
          <w:szCs w:val="10"/>
          <w:rtl/>
        </w:rPr>
        <w:t xml:space="preserve"> </w:t>
      </w:r>
    </w:p>
    <w:p>
      <w:pPr>
        <w:bidi/>
        <w:spacing w:before="0" w:after="80" w:line="276" w:lineRule="auto"/>
        <w:jc w:val="both"/>
      </w:pPr>
      <w:r>
        <w:rPr>
          <w:rFonts w:ascii="David Libre" w:hAnsi="David Libre" w:cs="David Libre" w:eastAsia="David Libre"/>
          <w:sz w:val="26"/>
          <w:szCs w:val="26"/>
          <w:rtl/>
        </w:rPr>
        <w:t>הברייתא בונה «סולם» של שלוש דרגות. מי שמסתפק בבסיס – יוצא ידי חובה. מי שרוצה להדר – מוסיף. ומי שרוצה להדר עוד יותר – גם מוסיף נר בכל לילה, כך שמספר הנרות מספר לכולם באיזה יום של החג אנחנו נמצאים.</w:t>
      </w:r>
    </w:p>
    <w:tbl>
      <w:tblPr>
        <w:bidiVisual/>
        <w:tblW w:w="9979" w:type="dxa"/>
        <w:jc w:val="center"/>
        <w:tblLayout w:type="fixed"/>
        <w:tblCellMar>
          <w:top w:w="28" w:type="dxa"/>
          <w:left w:w="85" w:type="dxa"/>
          <w:bottom w:w="28" w:type="dxa"/>
          <w:right w:w="85" w:type="dxa"/>
        </w:tblCellMar>
      </w:tblPr>
      <w:tblGrid>
        <w:gridCol w:w="2835"/>
        <w:gridCol w:w="3572"/>
        <w:gridCol w:w="3572"/>
      </w:tblGrid>
      <w:tr>
        <w:trPr>
          <w:cantSplit/>
        </w:trPr>
        <w:tc>
          <w:tcPr>
            <w:tcW w:type="dxa" w:w="3439"/>
            <w:tcW w:w="2835" w:type="dxa"/>
            <w:tcBorders>
              <w:top w:val="single" w:sz="4" w:space="0" w:color="BBBBBB"/>
              <w:left w:val="single" w:sz="4" w:space="0" w:color="BBBBBB"/>
              <w:bottom w:val="single" w:sz="4" w:space="0" w:color="BBBBBB"/>
              <w:right w:val="single" w:sz="4" w:space="0" w:color="BBBBBB"/>
            </w:tcBorders>
            <w:shd w:val="clear" w:color="auto" w:fill="A0632B"/>
            <w:tcMar>
              <w:top w:w="45" w:type="dxa"/>
              <w:left w:w="85" w:type="dxa"/>
              <w:bottom w:w="45" w:type="dxa"/>
              <w:right w:w="85" w:type="dxa"/>
            </w:tcMar>
            <w:vAlign w:val="center"/>
          </w:tcPr>
          <w:p>
            <w:pPr>
              <w:keepNext/>
              <w:bidi/>
              <w:spacing w:before="0" w:after="0"/>
              <w:jc w:val="both"/>
            </w:pPr>
            <w:r>
              <w:rPr>
                <w:rFonts w:ascii="Frank Ruhl Libre" w:hAnsi="Frank Ruhl Libre" w:cs="Frank Ruhl Libre" w:eastAsia="Frank Ruhl Libre"/>
                <w:b/>
                <w:bCs/>
                <w:color w:val="FFFFFF"/>
                <w:sz w:val="24"/>
                <w:szCs w:val="24"/>
                <w:rtl/>
              </w:rPr>
              <w:t>הדרגה</w:t>
            </w:r>
          </w:p>
        </w:tc>
        <w:tc>
          <w:tcPr>
            <w:tcW w:type="dxa" w:w="3439"/>
            <w:tcW w:w="3572" w:type="dxa"/>
            <w:tcBorders>
              <w:top w:val="single" w:sz="4" w:space="0" w:color="BBBBBB"/>
              <w:left w:val="single" w:sz="4" w:space="0" w:color="BBBBBB"/>
              <w:bottom w:val="single" w:sz="4" w:space="0" w:color="BBBBBB"/>
              <w:right w:val="single" w:sz="4" w:space="0" w:color="BBBBBB"/>
            </w:tcBorders>
            <w:shd w:val="clear" w:color="auto" w:fill="A0632B"/>
            <w:tcMar>
              <w:top w:w="45" w:type="dxa"/>
              <w:left w:w="85" w:type="dxa"/>
              <w:bottom w:w="45" w:type="dxa"/>
              <w:right w:w="85" w:type="dxa"/>
            </w:tcMar>
            <w:vAlign w:val="center"/>
          </w:tcPr>
          <w:p>
            <w:pPr>
              <w:keepNext/>
              <w:bidi/>
              <w:spacing w:before="0" w:after="0"/>
              <w:jc w:val="both"/>
            </w:pPr>
            <w:r>
              <w:rPr>
                <w:rFonts w:ascii="Frank Ruhl Libre" w:hAnsi="Frank Ruhl Libre" w:cs="Frank Ruhl Libre" w:eastAsia="Frank Ruhl Libre"/>
                <w:b/>
                <w:bCs/>
                <w:color w:val="FFFFFF"/>
                <w:sz w:val="24"/>
                <w:szCs w:val="24"/>
                <w:rtl/>
              </w:rPr>
              <w:t>כמה נרות?</w:t>
            </w:r>
          </w:p>
        </w:tc>
        <w:tc>
          <w:tcPr>
            <w:tcW w:type="dxa" w:w="3439"/>
            <w:tcW w:w="3572" w:type="dxa"/>
            <w:tcBorders>
              <w:top w:val="single" w:sz="4" w:space="0" w:color="BBBBBB"/>
              <w:left w:val="single" w:sz="4" w:space="0" w:color="BBBBBB"/>
              <w:bottom w:val="single" w:sz="4" w:space="0" w:color="BBBBBB"/>
              <w:right w:val="single" w:sz="4" w:space="0" w:color="BBBBBB"/>
            </w:tcBorders>
            <w:shd w:val="clear" w:color="auto" w:fill="A0632B"/>
            <w:tcMar>
              <w:top w:w="45" w:type="dxa"/>
              <w:left w:w="85" w:type="dxa"/>
              <w:bottom w:w="45" w:type="dxa"/>
              <w:right w:w="85" w:type="dxa"/>
            </w:tcMar>
            <w:vAlign w:val="center"/>
          </w:tcPr>
          <w:p>
            <w:pPr>
              <w:keepNext/>
              <w:bidi/>
              <w:spacing w:before="0" w:after="0"/>
              <w:jc w:val="both"/>
            </w:pPr>
            <w:r>
              <w:rPr>
                <w:rFonts w:ascii="Frank Ruhl Libre" w:hAnsi="Frank Ruhl Libre" w:cs="Frank Ruhl Libre" w:eastAsia="Frank Ruhl Libre"/>
                <w:b/>
                <w:bCs/>
                <w:color w:val="FFFFFF"/>
                <w:sz w:val="24"/>
                <w:szCs w:val="24"/>
                <w:rtl/>
              </w:rPr>
              <w:t>מי מדליק?</w:t>
            </w:r>
          </w:p>
        </w:tc>
      </w:tr>
      <w:tr>
        <w:trPr>
          <w:cantSplit/>
        </w:trPr>
        <w:tc>
          <w:tcPr>
            <w:tcW w:type="dxa" w:w="3439"/>
            <w:tcW w:w="2835" w:type="dxa"/>
            <w:tcBorders>
              <w:top w:val="single" w:sz="4" w:space="0" w:color="BBBBBB"/>
              <w:left w:val="single" w:sz="4" w:space="0" w:color="BBBBBB"/>
              <w:bottom w:val="single" w:sz="4" w:space="0" w:color="BBBBBB"/>
              <w:right w:val="single" w:sz="4" w:space="0" w:color="BBBBBB"/>
            </w:tcBorders>
            <w:shd w:val="clear" w:color="auto" w:fill="FFFFFF"/>
            <w:tcMar>
              <w:top w:w="45" w:type="dxa"/>
              <w:left w:w="85" w:type="dxa"/>
              <w:bottom w:w="45" w:type="dxa"/>
              <w:right w:w="85" w:type="dxa"/>
            </w:tcMar>
            <w:vAlign w:val="center"/>
          </w:tcPr>
          <w:p>
            <w:pPr>
              <w:keepNext/>
              <w:bidi/>
              <w:spacing w:before="0" w:after="0"/>
              <w:jc w:val="both"/>
            </w:pPr>
            <w:r>
              <w:rPr>
                <w:rFonts w:ascii="David Libre" w:hAnsi="David Libre" w:cs="David Libre" w:eastAsia="David Libre"/>
                <w:sz w:val="24"/>
                <w:szCs w:val="24"/>
                <w:rtl/>
              </w:rPr>
              <w:t>נר איש וביתו (העיקר)</w:t>
            </w:r>
          </w:p>
        </w:tc>
        <w:tc>
          <w:tcPr>
            <w:tcW w:type="dxa" w:w="3439"/>
            <w:tcW w:w="3572" w:type="dxa"/>
            <w:tcBorders>
              <w:top w:val="single" w:sz="4" w:space="0" w:color="BBBBBB"/>
              <w:left w:val="single" w:sz="4" w:space="0" w:color="BBBBBB"/>
              <w:bottom w:val="single" w:sz="4" w:space="0" w:color="BBBBBB"/>
              <w:right w:val="single" w:sz="4" w:space="0" w:color="BBBBBB"/>
            </w:tcBorders>
            <w:shd w:val="clear" w:color="auto" w:fill="FFFFFF"/>
            <w:tcMar>
              <w:top w:w="45" w:type="dxa"/>
              <w:left w:w="85" w:type="dxa"/>
              <w:bottom w:w="45" w:type="dxa"/>
              <w:right w:w="85" w:type="dxa"/>
            </w:tcMar>
            <w:vAlign w:val="center"/>
          </w:tcPr>
          <w:p>
            <w:pPr>
              <w:keepNext/>
              <w:bidi/>
              <w:spacing w:before="0" w:after="0"/>
              <w:jc w:val="both"/>
            </w:pPr>
            <w:r>
              <w:rPr>
                <w:rFonts w:ascii="David Libre" w:hAnsi="David Libre" w:cs="David Libre" w:eastAsia="David Libre"/>
                <w:sz w:val="24"/>
                <w:szCs w:val="24"/>
                <w:rtl/>
              </w:rPr>
              <w:t>נר אחד בכל לילה</w:t>
            </w:r>
          </w:p>
        </w:tc>
        <w:tc>
          <w:tcPr>
            <w:tcW w:type="dxa" w:w="3439"/>
            <w:tcW w:w="3572" w:type="dxa"/>
            <w:tcBorders>
              <w:top w:val="single" w:sz="4" w:space="0" w:color="BBBBBB"/>
              <w:left w:val="single" w:sz="4" w:space="0" w:color="BBBBBB"/>
              <w:bottom w:val="single" w:sz="4" w:space="0" w:color="BBBBBB"/>
              <w:right w:val="single" w:sz="4" w:space="0" w:color="BBBBBB"/>
            </w:tcBorders>
            <w:shd w:val="clear" w:color="auto" w:fill="FFFFFF"/>
            <w:tcMar>
              <w:top w:w="45" w:type="dxa"/>
              <w:left w:w="85" w:type="dxa"/>
              <w:bottom w:w="45" w:type="dxa"/>
              <w:right w:w="85" w:type="dxa"/>
            </w:tcMar>
            <w:vAlign w:val="center"/>
          </w:tcPr>
          <w:p>
            <w:pPr>
              <w:keepNext/>
              <w:bidi/>
              <w:spacing w:before="0" w:after="0"/>
              <w:jc w:val="both"/>
            </w:pPr>
            <w:r>
              <w:rPr>
                <w:rFonts w:ascii="David Libre" w:hAnsi="David Libre" w:cs="David Libre" w:eastAsia="David Libre"/>
                <w:sz w:val="24"/>
                <w:szCs w:val="24"/>
                <w:rtl/>
              </w:rPr>
              <w:t>אחד בשביל כל בני הבית</w:t>
            </w:r>
          </w:p>
        </w:tc>
      </w:tr>
      <w:tr>
        <w:trPr>
          <w:cantSplit/>
        </w:trPr>
        <w:tc>
          <w:tcPr>
            <w:tcW w:type="dxa" w:w="3439"/>
            <w:tcW w:w="2835" w:type="dxa"/>
            <w:tcBorders>
              <w:top w:val="single" w:sz="4" w:space="0" w:color="BBBBBB"/>
              <w:left w:val="single" w:sz="4" w:space="0" w:color="BBBBBB"/>
              <w:bottom w:val="single" w:sz="4" w:space="0" w:color="BBBBBB"/>
              <w:right w:val="single" w:sz="4" w:space="0" w:color="BBBBBB"/>
            </w:tcBorders>
            <w:shd w:val="clear" w:color="auto" w:fill="FBF3EA"/>
            <w:tcMar>
              <w:top w:w="45" w:type="dxa"/>
              <w:left w:w="85" w:type="dxa"/>
              <w:bottom w:w="45" w:type="dxa"/>
              <w:right w:w="85" w:type="dxa"/>
            </w:tcMar>
            <w:vAlign w:val="center"/>
          </w:tcPr>
          <w:p>
            <w:pPr>
              <w:keepNext/>
              <w:bidi/>
              <w:spacing w:before="0" w:after="0"/>
              <w:jc w:val="both"/>
            </w:pPr>
            <w:r>
              <w:rPr>
                <w:rFonts w:ascii="David Libre" w:hAnsi="David Libre" w:cs="David Libre" w:eastAsia="David Libre"/>
                <w:sz w:val="24"/>
                <w:szCs w:val="24"/>
                <w:rtl/>
              </w:rPr>
              <w:t>המהדרין</w:t>
            </w:r>
          </w:p>
        </w:tc>
        <w:tc>
          <w:tcPr>
            <w:tcW w:type="dxa" w:w="3439"/>
            <w:tcW w:w="3572" w:type="dxa"/>
            <w:tcBorders>
              <w:top w:val="single" w:sz="4" w:space="0" w:color="BBBBBB"/>
              <w:left w:val="single" w:sz="4" w:space="0" w:color="BBBBBB"/>
              <w:bottom w:val="single" w:sz="4" w:space="0" w:color="BBBBBB"/>
              <w:right w:val="single" w:sz="4" w:space="0" w:color="BBBBBB"/>
            </w:tcBorders>
            <w:shd w:val="clear" w:color="auto" w:fill="FBF3EA"/>
            <w:tcMar>
              <w:top w:w="45" w:type="dxa"/>
              <w:left w:w="85" w:type="dxa"/>
              <w:bottom w:w="45" w:type="dxa"/>
              <w:right w:w="85" w:type="dxa"/>
            </w:tcMar>
            <w:vAlign w:val="center"/>
          </w:tcPr>
          <w:p>
            <w:pPr>
              <w:keepNext/>
              <w:bidi/>
              <w:spacing w:before="0" w:after="0"/>
              <w:jc w:val="both"/>
            </w:pPr>
            <w:r>
              <w:rPr>
                <w:rFonts w:ascii="David Libre" w:hAnsi="David Libre" w:cs="David Libre" w:eastAsia="David Libre"/>
                <w:sz w:val="24"/>
                <w:szCs w:val="24"/>
                <w:rtl/>
              </w:rPr>
              <w:t>נר אחד בכל לילה – לכל אחד</w:t>
            </w:r>
          </w:p>
        </w:tc>
        <w:tc>
          <w:tcPr>
            <w:tcW w:type="dxa" w:w="3439"/>
            <w:tcW w:w="3572" w:type="dxa"/>
            <w:tcBorders>
              <w:top w:val="single" w:sz="4" w:space="0" w:color="BBBBBB"/>
              <w:left w:val="single" w:sz="4" w:space="0" w:color="BBBBBB"/>
              <w:bottom w:val="single" w:sz="4" w:space="0" w:color="BBBBBB"/>
              <w:right w:val="single" w:sz="4" w:space="0" w:color="BBBBBB"/>
            </w:tcBorders>
            <w:shd w:val="clear" w:color="auto" w:fill="FBF3EA"/>
            <w:tcMar>
              <w:top w:w="45" w:type="dxa"/>
              <w:left w:w="85" w:type="dxa"/>
              <w:bottom w:w="45" w:type="dxa"/>
              <w:right w:w="85" w:type="dxa"/>
            </w:tcMar>
            <w:vAlign w:val="center"/>
          </w:tcPr>
          <w:p>
            <w:pPr>
              <w:keepNext/>
              <w:bidi/>
              <w:spacing w:before="0" w:after="0"/>
              <w:jc w:val="both"/>
            </w:pPr>
            <w:r>
              <w:rPr>
                <w:rFonts w:ascii="David Libre" w:hAnsi="David Libre" w:cs="David Libre" w:eastAsia="David Libre"/>
                <w:sz w:val="24"/>
                <w:szCs w:val="24"/>
                <w:rtl/>
              </w:rPr>
              <w:t>כל אחד מבני הבית</w:t>
            </w:r>
          </w:p>
        </w:tc>
      </w:tr>
      <w:tr>
        <w:trPr>
          <w:cantSplit/>
        </w:trPr>
        <w:tc>
          <w:tcPr>
            <w:tcW w:type="dxa" w:w="3439"/>
            <w:tcW w:w="2835" w:type="dxa"/>
            <w:tcBorders>
              <w:top w:val="single" w:sz="4" w:space="0" w:color="BBBBBB"/>
              <w:left w:val="single" w:sz="4" w:space="0" w:color="BBBBBB"/>
              <w:bottom w:val="single" w:sz="4" w:space="0" w:color="BBBBBB"/>
              <w:right w:val="single" w:sz="4" w:space="0" w:color="BBBBBB"/>
            </w:tcBorders>
            <w:shd w:val="clear" w:color="auto" w:fill="FFFFFF"/>
            <w:tcMar>
              <w:top w:w="45" w:type="dxa"/>
              <w:left w:w="85" w:type="dxa"/>
              <w:bottom w:w="45" w:type="dxa"/>
              <w:right w:w="85" w:type="dxa"/>
            </w:tcMar>
            <w:vAlign w:val="center"/>
          </w:tcPr>
          <w:p>
            <w:pPr>
              <w:bidi/>
              <w:spacing w:before="0" w:after="0"/>
              <w:jc w:val="both"/>
            </w:pPr>
            <w:r>
              <w:rPr>
                <w:rFonts w:ascii="David Libre" w:hAnsi="David Libre" w:cs="David Libre" w:eastAsia="David Libre"/>
                <w:sz w:val="24"/>
                <w:szCs w:val="24"/>
                <w:rtl/>
              </w:rPr>
              <w:t>המהדרין מן המהדרין</w:t>
            </w:r>
          </w:p>
        </w:tc>
        <w:tc>
          <w:tcPr>
            <w:tcW w:type="dxa" w:w="3439"/>
            <w:tcW w:w="3572" w:type="dxa"/>
            <w:tcBorders>
              <w:top w:val="single" w:sz="4" w:space="0" w:color="BBBBBB"/>
              <w:left w:val="single" w:sz="4" w:space="0" w:color="BBBBBB"/>
              <w:bottom w:val="single" w:sz="4" w:space="0" w:color="BBBBBB"/>
              <w:right w:val="single" w:sz="4" w:space="0" w:color="BBBBBB"/>
            </w:tcBorders>
            <w:shd w:val="clear" w:color="auto" w:fill="FFFFFF"/>
            <w:tcMar>
              <w:top w:w="45" w:type="dxa"/>
              <w:left w:w="85" w:type="dxa"/>
              <w:bottom w:w="45" w:type="dxa"/>
              <w:right w:w="85" w:type="dxa"/>
            </w:tcMar>
            <w:vAlign w:val="center"/>
          </w:tcPr>
          <w:p>
            <w:pPr>
              <w:bidi/>
              <w:spacing w:before="0" w:after="0"/>
              <w:jc w:val="both"/>
            </w:pPr>
            <w:r>
              <w:rPr>
                <w:rFonts w:ascii="David Libre" w:hAnsi="David Libre" w:cs="David Libre" w:eastAsia="David Libre"/>
                <w:sz w:val="24"/>
                <w:szCs w:val="24"/>
                <w:rtl/>
              </w:rPr>
              <w:t>משתנה מלילה ללילה</w:t>
            </w:r>
          </w:p>
        </w:tc>
        <w:tc>
          <w:tcPr>
            <w:tcW w:type="dxa" w:w="3439"/>
            <w:tcW w:w="3572" w:type="dxa"/>
            <w:tcBorders>
              <w:top w:val="single" w:sz="4" w:space="0" w:color="BBBBBB"/>
              <w:left w:val="single" w:sz="4" w:space="0" w:color="BBBBBB"/>
              <w:bottom w:val="single" w:sz="4" w:space="0" w:color="BBBBBB"/>
              <w:right w:val="single" w:sz="4" w:space="0" w:color="BBBBBB"/>
            </w:tcBorders>
            <w:shd w:val="clear" w:color="auto" w:fill="FFFFFF"/>
            <w:tcMar>
              <w:top w:w="45" w:type="dxa"/>
              <w:left w:w="85" w:type="dxa"/>
              <w:bottom w:w="45" w:type="dxa"/>
              <w:right w:w="85" w:type="dxa"/>
            </w:tcMar>
            <w:vAlign w:val="center"/>
          </w:tcPr>
          <w:p>
            <w:pPr>
              <w:bidi/>
              <w:spacing w:before="0" w:after="0"/>
              <w:jc w:val="both"/>
            </w:pPr>
            <w:r>
              <w:rPr>
                <w:rFonts w:ascii="David Libre" w:hAnsi="David Libre" w:cs="David Libre" w:eastAsia="David Libre"/>
                <w:sz w:val="24"/>
                <w:szCs w:val="24"/>
                <w:rtl/>
              </w:rPr>
              <w:t>לפי בית שמאי או בית הלל (ראו בהמשך)</w:t>
            </w:r>
          </w:p>
        </w:tc>
      </w:tr>
    </w:tbl>
    <w:p>
      <w:pPr>
        <w:bidi/>
        <w:spacing w:before="0" w:after="0"/>
        <w:jc w:val="both"/>
      </w:pPr>
      <w:r>
        <w:rPr>
          <w:rFonts w:ascii="Noto Sans Hebrew" w:hAnsi="Noto Sans Hebrew" w:cs="Noto Sans Hebrew" w:eastAsia="Noto Sans Hebrew"/>
          <w:sz w:val="12"/>
          <w:szCs w:val="12"/>
          <w:rtl/>
        </w:rPr>
        <w:t xml:space="preserve"> </w:t>
      </w:r>
    </w:p>
    <w:p>
      <w:pPr>
        <w:keepNext/>
        <w:bidi/>
        <w:spacing w:before="160" w:after="60"/>
        <w:jc w:val="both"/>
      </w:pPr>
      <w:r>
        <w:rPr>
          <w:rFonts w:ascii="Frank Ruhl Libre" w:hAnsi="Frank Ruhl Libre" w:cs="Frank Ruhl Libre" w:eastAsia="Frank Ruhl Libre"/>
          <w:b/>
          <w:bCs/>
          <w:color w:val="7A3E12"/>
          <w:sz w:val="32"/>
          <w:szCs w:val="32"/>
          <w:rtl/>
        </w:rPr>
        <w:t>2</w:t>
      </w:r>
      <w:r>
        <w:rPr>
          <w:rFonts w:ascii="Frank Ruhl Libre" w:hAnsi="Frank Ruhl Libre" w:cs="Frank Ruhl Libre" w:eastAsia="Frank Ruhl Libre"/>
          <w:b/>
          <w:bCs/>
          <w:color w:val="7A3E12"/>
          <w:sz w:val="32"/>
          <w:szCs w:val="32"/>
          <w:rtl/>
        </w:rPr>
        <w:t>. בית שמאי ובית הלל – למה עולים ולמה יורדים?</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nil" w:sz="0" w:space="0" w:color="FFFFFF"/>
              <w:left w:val="nil" w:sz="0" w:space="0" w:color="FFFFFF"/>
              <w:bottom w:val="nil" w:sz="0" w:space="0" w:color="FFFFFF"/>
              <w:right w:val="single" w:sz="24" w:space="0" w:color="7A3E12"/>
            </w:tcBorders>
            <w:shd w:val="clear" w:color="auto" w:fill="FBF3EA"/>
            <w:tcMar>
              <w:top w:w="113" w:type="dxa"/>
              <w:left w:w="198" w:type="dxa"/>
              <w:bottom w:w="113" w:type="dxa"/>
              <w:right w:w="198" w:type="dxa"/>
            </w:tcMar>
            <w:vAlign w:val="center"/>
          </w:tcPr>
          <w:p>
            <w:pPr>
              <w:bidi/>
              <w:spacing w:before="0" w:after="40"/>
              <w:jc w:val="both"/>
            </w:pPr>
            <w:r>
              <w:rPr>
                <w:rFonts w:ascii="Frank Ruhl Libre" w:hAnsi="Frank Ruhl Libre" w:cs="Frank Ruhl Libre" w:eastAsia="Frank Ruhl Libre"/>
                <w:b/>
                <w:bCs/>
                <w:color w:val="7A3E12"/>
                <w:sz w:val="22"/>
                <w:szCs w:val="22"/>
                <w:rtl/>
              </w:rPr>
              <w:t>הגמרא</w:t>
            </w:r>
          </w:p>
          <w:p>
            <w:pPr>
              <w:bidi/>
              <w:spacing w:before="0" w:after="0" w:line="300" w:lineRule="auto"/>
              <w:jc w:val="both"/>
            </w:pPr>
            <w:r>
              <w:rPr>
                <w:rFonts w:ascii="Frank Ruhl Libre" w:hAnsi="Frank Ruhl Libre" w:cs="Frank Ruhl Libre" w:eastAsia="Frank Ruhl Libre"/>
                <w:sz w:val="30"/>
                <w:szCs w:val="30"/>
                <w:rtl/>
              </w:rPr>
              <w:t>אמר עולא פליגי בה תרי אמוראי במערבא ר' יוסי בר אבין ור' יוסי בר זבידא חד אמר טעמא דב"ש כנגד ימים הנכנסין וטעמא דב"ה כנגד ימים היוצאין וחד אמר טעמא דב"ש כנגד פרי החג וטעמא דבית הלל דמעלין בקדש ואין מורידין אמר רבה בר בר חנה א"ר יוחנן שני זקנים היו בצידן אחד עשה כב"ש ואחד עשה כדברי ב"ה זה נותן טעם לדבריו כנגד פרי החג וזה נותן טעם לדבריו דמעלין בקדש ואין מורידין</w:t>
            </w:r>
          </w:p>
          <w:p>
            <w:pPr>
              <w:bidi/>
              <w:spacing w:before="40" w:after="0"/>
              <w:jc w:val="both"/>
            </w:pPr>
            <w:r>
              <w:rPr>
                <w:rFonts w:ascii="David Libre" w:hAnsi="David Libre" w:cs="David Libre" w:eastAsia="David Libre"/>
                <w:color w:val="666666"/>
                <w:sz w:val="20"/>
                <w:szCs w:val="20"/>
                <w:rtl/>
              </w:rPr>
              <w:t>תלמוד בבלי, מסכת שבת דף כא ע"ב (נוסח: ויקיטקסט – he.wikisource.org/wiki/שבת_כא_ב)</w:t>
            </w:r>
          </w:p>
        </w:tc>
      </w:tr>
    </w:tbl>
    <w:p>
      <w:pPr>
        <w:bidi/>
        <w:spacing w:before="0" w:after="0"/>
        <w:jc w:val="both"/>
      </w:pPr>
      <w:r>
        <w:rPr>
          <w:rFonts w:ascii="Noto Sans Hebrew" w:hAnsi="Noto Sans Hebrew" w:cs="Noto Sans Hebrew" w:eastAsia="Noto Sans Hebrew"/>
          <w:sz w:val="10"/>
          <w:szCs w:val="10"/>
          <w:rtl/>
        </w:rPr>
        <w:t xml:space="preserve"> </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single" w:sz="4" w:space="0" w:color="C8B27A"/>
              <w:left w:val="single" w:sz="4" w:space="0" w:color="C8B27A"/>
              <w:bottom w:val="single" w:sz="4" w:space="0" w:color="C8B27A"/>
              <w:right w:val="single" w:sz="4" w:space="0" w:color="C8B27A"/>
            </w:tcBorders>
            <w:shd w:val="clear" w:color="auto" w:fill="FBF7EE"/>
            <w:tcMar>
              <w:top w:w="85" w:type="dxa"/>
              <w:left w:w="170" w:type="dxa"/>
              <w:bottom w:w="85" w:type="dxa"/>
              <w:right w:w="170" w:type="dxa"/>
            </w:tcMar>
            <w:vAlign w:val="center"/>
          </w:tcPr>
          <w:p>
            <w:pPr>
              <w:bidi/>
              <w:spacing w:before="0" w:after="40"/>
              <w:jc w:val="both"/>
            </w:pPr>
            <w:r>
              <w:rPr>
                <w:rFonts w:ascii="Frank Ruhl Libre" w:hAnsi="Frank Ruhl Libre" w:cs="Frank Ruhl Libre" w:eastAsia="Frank Ruhl Libre"/>
                <w:b/>
                <w:bCs/>
                <w:color w:val="8A6D1F"/>
                <w:sz w:val="22"/>
                <w:szCs w:val="22"/>
                <w:rtl/>
              </w:rPr>
              <w:t>רש"י:</w:t>
            </w:r>
          </w:p>
          <w:p>
            <w:pPr>
              <w:bidi/>
              <w:spacing w:before="0" w:after="20" w:line="276" w:lineRule="auto"/>
              <w:jc w:val="both"/>
            </w:pPr>
            <w:r>
              <w:rPr>
                <w:rFonts w:ascii="Frank Ruhl Libre" w:hAnsi="Frank Ruhl Libre" w:cs="Frank Ruhl Libre" w:eastAsia="Frank Ruhl Libre"/>
                <w:b/>
                <w:bCs/>
                <w:sz w:val="25"/>
                <w:szCs w:val="25"/>
                <w:rtl/>
              </w:rPr>
              <w:t xml:space="preserve">כנגד ימים הנכנסים – </w:t>
            </w:r>
            <w:r>
              <w:rPr>
                <w:rFonts w:ascii="Frank Ruhl Libre" w:hAnsi="Frank Ruhl Libre" w:cs="Frank Ruhl Libre" w:eastAsia="Frank Ruhl Libre"/>
                <w:sz w:val="25"/>
                <w:szCs w:val="25"/>
                <w:rtl/>
              </w:rPr>
              <w:t>העתידים לבא</w:t>
            </w:r>
          </w:p>
          <w:p>
            <w:pPr>
              <w:bidi/>
              <w:spacing w:before="0" w:after="20" w:line="276" w:lineRule="auto"/>
              <w:jc w:val="both"/>
            </w:pPr>
            <w:r>
              <w:rPr>
                <w:rFonts w:ascii="Frank Ruhl Libre" w:hAnsi="Frank Ruhl Libre" w:cs="Frank Ruhl Libre" w:eastAsia="Frank Ruhl Libre"/>
                <w:b/>
                <w:bCs/>
                <w:sz w:val="25"/>
                <w:szCs w:val="25"/>
                <w:rtl/>
              </w:rPr>
              <w:t xml:space="preserve">ימים היוצאין – </w:t>
            </w:r>
            <w:r>
              <w:rPr>
                <w:rFonts w:ascii="Frank Ruhl Libre" w:hAnsi="Frank Ruhl Libre" w:cs="Frank Ruhl Libre" w:eastAsia="Frank Ruhl Libre"/>
                <w:sz w:val="25"/>
                <w:szCs w:val="25"/>
                <w:rtl/>
              </w:rPr>
              <w:t>שיצאו כבר וזה שהוא עומד בו נמנה עם היוצאין</w:t>
            </w:r>
          </w:p>
          <w:p>
            <w:pPr>
              <w:bidi/>
              <w:spacing w:before="0" w:after="20" w:line="276" w:lineRule="auto"/>
              <w:jc w:val="both"/>
            </w:pPr>
            <w:r>
              <w:rPr>
                <w:rFonts w:ascii="Frank Ruhl Libre" w:hAnsi="Frank Ruhl Libre" w:cs="Frank Ruhl Libre" w:eastAsia="Frank Ruhl Libre"/>
                <w:b/>
                <w:bCs/>
                <w:sz w:val="25"/>
                <w:szCs w:val="25"/>
                <w:rtl/>
              </w:rPr>
              <w:t xml:space="preserve">פרי החג – </w:t>
            </w:r>
            <w:r>
              <w:rPr>
                <w:rFonts w:ascii="Frank Ruhl Libre" w:hAnsi="Frank Ruhl Libre" w:cs="Frank Ruhl Libre" w:eastAsia="Frank Ruhl Libre"/>
                <w:sz w:val="25"/>
                <w:szCs w:val="25"/>
                <w:rtl/>
              </w:rPr>
              <w:t>מתמעטים והולכים בקרבנות דפרשת פנחס</w:t>
            </w:r>
          </w:p>
          <w:p>
            <w:pPr>
              <w:bidi/>
              <w:spacing w:before="0" w:after="20" w:line="276" w:lineRule="auto"/>
              <w:jc w:val="both"/>
            </w:pPr>
            <w:r>
              <w:rPr>
                <w:rFonts w:ascii="Frank Ruhl Libre" w:hAnsi="Frank Ruhl Libre" w:cs="Frank Ruhl Libre" w:eastAsia="Frank Ruhl Libre"/>
                <w:b/>
                <w:bCs/>
                <w:sz w:val="25"/>
                <w:szCs w:val="25"/>
                <w:rtl/>
              </w:rPr>
              <w:t xml:space="preserve">מעלין בקדש ואין מורידין – </w:t>
            </w:r>
            <w:r>
              <w:rPr>
                <w:rFonts w:ascii="Frank Ruhl Libre" w:hAnsi="Frank Ruhl Libre" w:cs="Frank Ruhl Libre" w:eastAsia="Frank Ruhl Libre"/>
                <w:sz w:val="25"/>
                <w:szCs w:val="25"/>
                <w:rtl/>
              </w:rPr>
              <w:t>מקרא ילפינן לה במנחות בפרק שתי הלחם (דף צט.)</w:t>
            </w:r>
          </w:p>
          <w:p>
            <w:pPr>
              <w:bidi/>
              <w:spacing w:before="40" w:after="0"/>
              <w:jc w:val="both"/>
            </w:pPr>
            <w:r>
              <w:rPr>
                <w:rFonts w:ascii="David Libre" w:hAnsi="David Libre" w:cs="David Libre" w:eastAsia="David Libre"/>
                <w:color w:val="666666"/>
                <w:sz w:val="20"/>
                <w:szCs w:val="20"/>
                <w:rtl/>
              </w:rPr>
              <w:t>רש"י, שבת כא ע"ב (ויקיטקסט)</w:t>
            </w:r>
          </w:p>
        </w:tc>
      </w:tr>
    </w:tbl>
    <w:p>
      <w:pPr>
        <w:bidi/>
        <w:spacing w:before="0" w:after="0"/>
        <w:jc w:val="both"/>
      </w:pPr>
      <w:r>
        <w:rPr>
          <w:rFonts w:ascii="Noto Sans Hebrew" w:hAnsi="Noto Sans Hebrew" w:cs="Noto Sans Hebrew" w:eastAsia="Noto Sans Hebrew"/>
          <w:sz w:val="10"/>
          <w:szCs w:val="10"/>
          <w:rtl/>
        </w:rPr>
        <w:t xml:space="preserve"> </w:t>
      </w:r>
    </w:p>
    <w:p>
      <w:pPr>
        <w:bidi/>
        <w:spacing w:before="0" w:after="80" w:line="276" w:lineRule="auto"/>
        <w:jc w:val="both"/>
      </w:pPr>
      <w:r>
        <w:rPr>
          <w:rFonts w:ascii="David Libre" w:hAnsi="David Libre" w:cs="David Libre" w:eastAsia="David Libre"/>
          <w:sz w:val="26"/>
          <w:szCs w:val="26"/>
          <w:rtl/>
        </w:rPr>
        <w:t>לפי בית שמאי מתחילים בשמונה נרות ויורדים בכל ערב בנר אחד; לפי בית הלל מתחילים בנר אחד ועולים. שני אמוראים מארץ ישראל («במערבא») מציעים שני הסברים שונים לשורש המחלוקת:</w:t>
      </w:r>
    </w:p>
    <w:tbl>
      <w:tblPr>
        <w:bidiVisual/>
        <w:tblW w:w="9979" w:type="dxa"/>
        <w:jc w:val="center"/>
        <w:tblLayout w:type="fixed"/>
        <w:tblCellMar>
          <w:top w:w="28" w:type="dxa"/>
          <w:left w:w="85" w:type="dxa"/>
          <w:bottom w:w="28" w:type="dxa"/>
          <w:right w:w="85" w:type="dxa"/>
        </w:tblCellMar>
      </w:tblPr>
      <w:tblGrid>
        <w:gridCol w:w="2041"/>
        <w:gridCol w:w="3969"/>
        <w:gridCol w:w="3969"/>
      </w:tblGrid>
      <w:tr>
        <w:trPr>
          <w:cantSplit/>
        </w:trPr>
        <w:tc>
          <w:tcPr>
            <w:tcW w:type="dxa" w:w="3439"/>
            <w:tcW w:w="2041" w:type="dxa"/>
            <w:tcBorders>
              <w:top w:val="single" w:sz="4" w:space="0" w:color="BBBBBB"/>
              <w:left w:val="single" w:sz="4" w:space="0" w:color="BBBBBB"/>
              <w:bottom w:val="single" w:sz="4" w:space="0" w:color="BBBBBB"/>
              <w:right w:val="single" w:sz="4" w:space="0" w:color="BBBBBB"/>
            </w:tcBorders>
            <w:shd w:val="clear" w:color="auto" w:fill="A0632B"/>
            <w:tcMar>
              <w:top w:w="45" w:type="dxa"/>
              <w:left w:w="85" w:type="dxa"/>
              <w:bottom w:w="45" w:type="dxa"/>
              <w:right w:w="85" w:type="dxa"/>
            </w:tcMar>
            <w:vAlign w:val="center"/>
          </w:tcPr>
          <w:p>
            <w:pPr>
              <w:keepNext/>
              <w:bidi/>
              <w:spacing w:before="0" w:after="0"/>
              <w:jc w:val="both"/>
            </w:pPr>
          </w:p>
        </w:tc>
        <w:tc>
          <w:tcPr>
            <w:tcW w:type="dxa" w:w="3439"/>
            <w:tcW w:w="3969" w:type="dxa"/>
            <w:tcBorders>
              <w:top w:val="single" w:sz="4" w:space="0" w:color="BBBBBB"/>
              <w:left w:val="single" w:sz="4" w:space="0" w:color="BBBBBB"/>
              <w:bottom w:val="single" w:sz="4" w:space="0" w:color="BBBBBB"/>
              <w:right w:val="single" w:sz="4" w:space="0" w:color="BBBBBB"/>
            </w:tcBorders>
            <w:shd w:val="clear" w:color="auto" w:fill="A0632B"/>
            <w:tcMar>
              <w:top w:w="45" w:type="dxa"/>
              <w:left w:w="85" w:type="dxa"/>
              <w:bottom w:w="45" w:type="dxa"/>
              <w:right w:w="85" w:type="dxa"/>
            </w:tcMar>
            <w:vAlign w:val="center"/>
          </w:tcPr>
          <w:p>
            <w:pPr>
              <w:keepNext/>
              <w:bidi/>
              <w:spacing w:before="0" w:after="0"/>
              <w:jc w:val="both"/>
            </w:pPr>
            <w:r>
              <w:rPr>
                <w:rFonts w:ascii="Frank Ruhl Libre" w:hAnsi="Frank Ruhl Libre" w:cs="Frank Ruhl Libre" w:eastAsia="Frank Ruhl Libre"/>
                <w:b/>
                <w:bCs/>
                <w:color w:val="FFFFFF"/>
                <w:sz w:val="24"/>
                <w:szCs w:val="24"/>
                <w:rtl/>
              </w:rPr>
              <w:t>בית שמאי – יורדים</w:t>
            </w:r>
          </w:p>
        </w:tc>
        <w:tc>
          <w:tcPr>
            <w:tcW w:type="dxa" w:w="3439"/>
            <w:tcW w:w="3969" w:type="dxa"/>
            <w:tcBorders>
              <w:top w:val="single" w:sz="4" w:space="0" w:color="BBBBBB"/>
              <w:left w:val="single" w:sz="4" w:space="0" w:color="BBBBBB"/>
              <w:bottom w:val="single" w:sz="4" w:space="0" w:color="BBBBBB"/>
              <w:right w:val="single" w:sz="4" w:space="0" w:color="BBBBBB"/>
            </w:tcBorders>
            <w:shd w:val="clear" w:color="auto" w:fill="A0632B"/>
            <w:tcMar>
              <w:top w:w="45" w:type="dxa"/>
              <w:left w:w="85" w:type="dxa"/>
              <w:bottom w:w="45" w:type="dxa"/>
              <w:right w:w="85" w:type="dxa"/>
            </w:tcMar>
            <w:vAlign w:val="center"/>
          </w:tcPr>
          <w:p>
            <w:pPr>
              <w:keepNext/>
              <w:bidi/>
              <w:spacing w:before="0" w:after="0"/>
              <w:jc w:val="both"/>
            </w:pPr>
            <w:r>
              <w:rPr>
                <w:rFonts w:ascii="Frank Ruhl Libre" w:hAnsi="Frank Ruhl Libre" w:cs="Frank Ruhl Libre" w:eastAsia="Frank Ruhl Libre"/>
                <w:b/>
                <w:bCs/>
                <w:color w:val="FFFFFF"/>
                <w:sz w:val="24"/>
                <w:szCs w:val="24"/>
                <w:rtl/>
              </w:rPr>
              <w:t>בית הלל – עולים</w:t>
            </w:r>
          </w:p>
        </w:tc>
      </w:tr>
      <w:tr>
        <w:trPr>
          <w:cantSplit/>
        </w:trPr>
        <w:tc>
          <w:tcPr>
            <w:tcW w:type="dxa" w:w="3439"/>
            <w:tcW w:w="2041" w:type="dxa"/>
            <w:tcBorders>
              <w:top w:val="single" w:sz="4" w:space="0" w:color="BBBBBB"/>
              <w:left w:val="single" w:sz="4" w:space="0" w:color="BBBBBB"/>
              <w:bottom w:val="single" w:sz="4" w:space="0" w:color="BBBBBB"/>
              <w:right w:val="single" w:sz="4" w:space="0" w:color="BBBBBB"/>
            </w:tcBorders>
            <w:shd w:val="clear" w:color="auto" w:fill="FFFFFF"/>
            <w:tcMar>
              <w:top w:w="45" w:type="dxa"/>
              <w:left w:w="85" w:type="dxa"/>
              <w:bottom w:w="45" w:type="dxa"/>
              <w:right w:w="85" w:type="dxa"/>
            </w:tcMar>
            <w:vAlign w:val="center"/>
          </w:tcPr>
          <w:p>
            <w:pPr>
              <w:keepNext/>
              <w:bidi/>
              <w:spacing w:before="0" w:after="0"/>
              <w:jc w:val="both"/>
            </w:pPr>
            <w:r>
              <w:rPr>
                <w:rFonts w:ascii="David Libre" w:hAnsi="David Libre" w:cs="David Libre" w:eastAsia="David Libre"/>
                <w:sz w:val="24"/>
                <w:szCs w:val="24"/>
                <w:rtl/>
              </w:rPr>
              <w:t>הסבר ראשון</w:t>
            </w:r>
          </w:p>
        </w:tc>
        <w:tc>
          <w:tcPr>
            <w:tcW w:type="dxa" w:w="3439"/>
            <w:tcW w:w="3969" w:type="dxa"/>
            <w:tcBorders>
              <w:top w:val="single" w:sz="4" w:space="0" w:color="BBBBBB"/>
              <w:left w:val="single" w:sz="4" w:space="0" w:color="BBBBBB"/>
              <w:bottom w:val="single" w:sz="4" w:space="0" w:color="BBBBBB"/>
              <w:right w:val="single" w:sz="4" w:space="0" w:color="BBBBBB"/>
            </w:tcBorders>
            <w:shd w:val="clear" w:color="auto" w:fill="FFFFFF"/>
            <w:tcMar>
              <w:top w:w="45" w:type="dxa"/>
              <w:left w:w="85" w:type="dxa"/>
              <w:bottom w:w="45" w:type="dxa"/>
              <w:right w:w="85" w:type="dxa"/>
            </w:tcMar>
            <w:vAlign w:val="center"/>
          </w:tcPr>
          <w:p>
            <w:pPr>
              <w:keepNext/>
              <w:bidi/>
              <w:spacing w:before="0" w:after="0"/>
              <w:jc w:val="both"/>
            </w:pPr>
            <w:r>
              <w:rPr>
                <w:rFonts w:ascii="David Libre" w:hAnsi="David Libre" w:cs="David Libre" w:eastAsia="David Libre"/>
                <w:sz w:val="24"/>
                <w:szCs w:val="24"/>
                <w:rtl/>
              </w:rPr>
              <w:t>סופרים את הימים שעוד נשארו בחג – ובכל יום נשארים פחות</w:t>
            </w:r>
          </w:p>
        </w:tc>
        <w:tc>
          <w:tcPr>
            <w:tcW w:type="dxa" w:w="3439"/>
            <w:tcW w:w="3969" w:type="dxa"/>
            <w:tcBorders>
              <w:top w:val="single" w:sz="4" w:space="0" w:color="BBBBBB"/>
              <w:left w:val="single" w:sz="4" w:space="0" w:color="BBBBBB"/>
              <w:bottom w:val="single" w:sz="4" w:space="0" w:color="BBBBBB"/>
              <w:right w:val="single" w:sz="4" w:space="0" w:color="BBBBBB"/>
            </w:tcBorders>
            <w:shd w:val="clear" w:color="auto" w:fill="FFFFFF"/>
            <w:tcMar>
              <w:top w:w="45" w:type="dxa"/>
              <w:left w:w="85" w:type="dxa"/>
              <w:bottom w:w="45" w:type="dxa"/>
              <w:right w:w="85" w:type="dxa"/>
            </w:tcMar>
            <w:vAlign w:val="center"/>
          </w:tcPr>
          <w:p>
            <w:pPr>
              <w:keepNext/>
              <w:bidi/>
              <w:spacing w:before="0" w:after="0"/>
              <w:jc w:val="both"/>
            </w:pPr>
            <w:r>
              <w:rPr>
                <w:rFonts w:ascii="David Libre" w:hAnsi="David Libre" w:cs="David Libre" w:eastAsia="David Libre"/>
                <w:sz w:val="24"/>
                <w:szCs w:val="24"/>
                <w:rtl/>
              </w:rPr>
              <w:t>סופרים את הימים שכבר עברו – ובכל יום עברו יותר</w:t>
            </w:r>
          </w:p>
        </w:tc>
      </w:tr>
      <w:tr>
        <w:trPr>
          <w:cantSplit/>
        </w:trPr>
        <w:tc>
          <w:tcPr>
            <w:tcW w:type="dxa" w:w="3439"/>
            <w:tcW w:w="2041" w:type="dxa"/>
            <w:tcBorders>
              <w:top w:val="single" w:sz="4" w:space="0" w:color="BBBBBB"/>
              <w:left w:val="single" w:sz="4" w:space="0" w:color="BBBBBB"/>
              <w:bottom w:val="single" w:sz="4" w:space="0" w:color="BBBBBB"/>
              <w:right w:val="single" w:sz="4" w:space="0" w:color="BBBBBB"/>
            </w:tcBorders>
            <w:shd w:val="clear" w:color="auto" w:fill="FBF3EA"/>
            <w:tcMar>
              <w:top w:w="45" w:type="dxa"/>
              <w:left w:w="85" w:type="dxa"/>
              <w:bottom w:w="45" w:type="dxa"/>
              <w:right w:w="85" w:type="dxa"/>
            </w:tcMar>
            <w:vAlign w:val="center"/>
          </w:tcPr>
          <w:p>
            <w:pPr>
              <w:bidi/>
              <w:spacing w:before="0" w:after="0"/>
              <w:jc w:val="both"/>
            </w:pPr>
            <w:r>
              <w:rPr>
                <w:rFonts w:ascii="David Libre" w:hAnsi="David Libre" w:cs="David Libre" w:eastAsia="David Libre"/>
                <w:sz w:val="24"/>
                <w:szCs w:val="24"/>
                <w:rtl/>
              </w:rPr>
              <w:t>הסבר שני</w:t>
            </w:r>
          </w:p>
        </w:tc>
        <w:tc>
          <w:tcPr>
            <w:tcW w:type="dxa" w:w="3439"/>
            <w:tcW w:w="3969" w:type="dxa"/>
            <w:tcBorders>
              <w:top w:val="single" w:sz="4" w:space="0" w:color="BBBBBB"/>
              <w:left w:val="single" w:sz="4" w:space="0" w:color="BBBBBB"/>
              <w:bottom w:val="single" w:sz="4" w:space="0" w:color="BBBBBB"/>
              <w:right w:val="single" w:sz="4" w:space="0" w:color="BBBBBB"/>
            </w:tcBorders>
            <w:shd w:val="clear" w:color="auto" w:fill="FBF3EA"/>
            <w:tcMar>
              <w:top w:w="45" w:type="dxa"/>
              <w:left w:w="85" w:type="dxa"/>
              <w:bottom w:w="45" w:type="dxa"/>
              <w:right w:w="85" w:type="dxa"/>
            </w:tcMar>
            <w:vAlign w:val="center"/>
          </w:tcPr>
          <w:p>
            <w:pPr>
              <w:bidi/>
              <w:spacing w:before="0" w:after="0"/>
              <w:jc w:val="both"/>
            </w:pPr>
            <w:r>
              <w:rPr>
                <w:rFonts w:ascii="David Libre" w:hAnsi="David Libre" w:cs="David Libre" w:eastAsia="David Libre"/>
                <w:sz w:val="24"/>
                <w:szCs w:val="24"/>
                <w:rtl/>
              </w:rPr>
              <w:t>כמו פרי החג: בסוכות מספר הפרים שמקריבים יורד מיום ליום</w:t>
            </w:r>
          </w:p>
        </w:tc>
        <w:tc>
          <w:tcPr>
            <w:tcW w:type="dxa" w:w="3439"/>
            <w:tcW w:w="3969" w:type="dxa"/>
            <w:tcBorders>
              <w:top w:val="single" w:sz="4" w:space="0" w:color="BBBBBB"/>
              <w:left w:val="single" w:sz="4" w:space="0" w:color="BBBBBB"/>
              <w:bottom w:val="single" w:sz="4" w:space="0" w:color="BBBBBB"/>
              <w:right w:val="single" w:sz="4" w:space="0" w:color="BBBBBB"/>
            </w:tcBorders>
            <w:shd w:val="clear" w:color="auto" w:fill="FBF3EA"/>
            <w:tcMar>
              <w:top w:w="45" w:type="dxa"/>
              <w:left w:w="85" w:type="dxa"/>
              <w:bottom w:w="45" w:type="dxa"/>
              <w:right w:w="85" w:type="dxa"/>
            </w:tcMar>
            <w:vAlign w:val="center"/>
          </w:tcPr>
          <w:p>
            <w:pPr>
              <w:bidi/>
              <w:spacing w:before="0" w:after="0"/>
              <w:jc w:val="both"/>
            </w:pPr>
            <w:r>
              <w:rPr>
                <w:rFonts w:ascii="David Libre" w:hAnsi="David Libre" w:cs="David Libre" w:eastAsia="David Libre"/>
                <w:sz w:val="24"/>
                <w:szCs w:val="24"/>
                <w:rtl/>
              </w:rPr>
              <w:t>כלל: בדברים שבקדושה עולים ולא יורדים</w:t>
            </w:r>
          </w:p>
        </w:tc>
      </w:tr>
    </w:tbl>
    <w:p>
      <w:pPr>
        <w:bidi/>
        <w:spacing w:before="0" w:after="0"/>
        <w:jc w:val="both"/>
      </w:pPr>
      <w:r>
        <w:rPr>
          <w:rFonts w:ascii="Noto Sans Hebrew" w:hAnsi="Noto Sans Hebrew" w:cs="Noto Sans Hebrew" w:eastAsia="Noto Sans Hebrew"/>
          <w:sz w:val="12"/>
          <w:szCs w:val="12"/>
          <w:rtl/>
        </w:rPr>
        <w:t xml:space="preserve"> </w:t>
      </w:r>
    </w:p>
    <w:p>
      <w:pPr>
        <w:bidi/>
        <w:spacing w:before="0" w:after="80" w:line="276" w:lineRule="auto"/>
        <w:jc w:val="both"/>
      </w:pPr>
      <w:r>
        <w:rPr>
          <w:rFonts w:ascii="David Libre" w:hAnsi="David Libre" w:cs="David Libre" w:eastAsia="David Libre"/>
          <w:sz w:val="26"/>
          <w:szCs w:val="26"/>
          <w:rtl/>
        </w:rPr>
        <w:t>הגמרא מוסיפה עדות: בעיר צידון היו שני זקנים – אחד נהג כבית שמאי ואחד כבית הלל, וכל אחד נימק את מנהגו בהסבר השני. מכאן אפשר ללמוד שההסבר השני היה מוכר גם בפועל.</w:t>
      </w:r>
    </w:p>
    <w:p>
      <w:pPr>
        <w:keepNext/>
        <w:bidi/>
        <w:spacing w:before="160" w:after="60"/>
        <w:jc w:val="both"/>
      </w:pPr>
      <w:r>
        <w:rPr>
          <w:rFonts w:ascii="Frank Ruhl Libre" w:hAnsi="Frank Ruhl Libre" w:cs="Frank Ruhl Libre" w:eastAsia="Frank Ruhl Libre"/>
          <w:b/>
          <w:bCs/>
          <w:color w:val="7A3E12"/>
          <w:sz w:val="32"/>
          <w:szCs w:val="32"/>
          <w:rtl/>
        </w:rPr>
        <w:t>3</w:t>
      </w:r>
      <w:r>
        <w:rPr>
          <w:rFonts w:ascii="Frank Ruhl Libre" w:hAnsi="Frank Ruhl Libre" w:cs="Frank Ruhl Libre" w:eastAsia="Frank Ruhl Libre"/>
          <w:b/>
          <w:bCs/>
          <w:color w:val="7A3E12"/>
          <w:sz w:val="32"/>
          <w:szCs w:val="32"/>
          <w:rtl/>
        </w:rPr>
        <w:t>. איפה מניחים את הנר?</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nil" w:sz="0" w:space="0" w:color="FFFFFF"/>
              <w:left w:val="nil" w:sz="0" w:space="0" w:color="FFFFFF"/>
              <w:bottom w:val="nil" w:sz="0" w:space="0" w:color="FFFFFF"/>
              <w:right w:val="single" w:sz="24" w:space="0" w:color="7A3E12"/>
            </w:tcBorders>
            <w:shd w:val="clear" w:color="auto" w:fill="FBF3EA"/>
            <w:tcMar>
              <w:top w:w="113" w:type="dxa"/>
              <w:left w:w="198" w:type="dxa"/>
              <w:bottom w:w="113" w:type="dxa"/>
              <w:right w:w="198" w:type="dxa"/>
            </w:tcMar>
            <w:vAlign w:val="center"/>
          </w:tcPr>
          <w:p>
            <w:pPr>
              <w:bidi/>
              <w:spacing w:before="0" w:after="40"/>
              <w:jc w:val="both"/>
            </w:pPr>
            <w:r>
              <w:rPr>
                <w:rFonts w:ascii="Frank Ruhl Libre" w:hAnsi="Frank Ruhl Libre" w:cs="Frank Ruhl Libre" w:eastAsia="Frank Ruhl Libre"/>
                <w:b/>
                <w:bCs/>
                <w:color w:val="7A3E12"/>
                <w:sz w:val="22"/>
                <w:szCs w:val="22"/>
                <w:rtl/>
              </w:rPr>
              <w:t>הגמרא</w:t>
            </w:r>
          </w:p>
          <w:p>
            <w:pPr>
              <w:bidi/>
              <w:spacing w:before="0" w:after="0" w:line="300" w:lineRule="auto"/>
              <w:jc w:val="both"/>
            </w:pPr>
            <w:r>
              <w:rPr>
                <w:rFonts w:ascii="Frank Ruhl Libre" w:hAnsi="Frank Ruhl Libre" w:cs="Frank Ruhl Libre" w:eastAsia="Frank Ruhl Libre"/>
                <w:sz w:val="30"/>
                <w:szCs w:val="30"/>
                <w:rtl/>
              </w:rPr>
              <w:t>ת"ר נר חנוכה מצוה להניחה על פתח ביתו מבחוץ אם היה דר בעלייה מניחה בחלון הסמוכה לרה"ר ובשעת הסכנה מניחה על שלחנו ודיו אמר רבא צריך נר אחרת להשתמש לאורה ואי איכא מדורה לא צריך ואי אדם חשוב הוא אע"ג דאיכא מדורה צריך נר אחרת:</w:t>
            </w:r>
          </w:p>
          <w:p>
            <w:pPr>
              <w:bidi/>
              <w:spacing w:before="40" w:after="0"/>
              <w:jc w:val="both"/>
            </w:pPr>
            <w:r>
              <w:rPr>
                <w:rFonts w:ascii="David Libre" w:hAnsi="David Libre" w:cs="David Libre" w:eastAsia="David Libre"/>
                <w:color w:val="666666"/>
                <w:sz w:val="20"/>
                <w:szCs w:val="20"/>
                <w:rtl/>
              </w:rPr>
              <w:t>תלמוד בבלי, מסכת שבת דף כא ע"ב (נוסח: ויקיטקסט – he.wikisource.org/wiki/שבת_כא_ב)</w:t>
            </w:r>
          </w:p>
        </w:tc>
      </w:tr>
    </w:tbl>
    <w:p>
      <w:pPr>
        <w:bidi/>
        <w:spacing w:before="0" w:after="0"/>
        <w:jc w:val="both"/>
      </w:pPr>
      <w:r>
        <w:rPr>
          <w:rFonts w:ascii="Noto Sans Hebrew" w:hAnsi="Noto Sans Hebrew" w:cs="Noto Sans Hebrew" w:eastAsia="Noto Sans Hebrew"/>
          <w:sz w:val="10"/>
          <w:szCs w:val="10"/>
          <w:rtl/>
        </w:rPr>
        <w:t xml:space="preserve"> </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single" w:sz="4" w:space="0" w:color="C8B27A"/>
              <w:left w:val="single" w:sz="4" w:space="0" w:color="C8B27A"/>
              <w:bottom w:val="single" w:sz="4" w:space="0" w:color="C8B27A"/>
              <w:right w:val="single" w:sz="4" w:space="0" w:color="C8B27A"/>
            </w:tcBorders>
            <w:shd w:val="clear" w:color="auto" w:fill="FBF7EE"/>
            <w:tcMar>
              <w:top w:w="85" w:type="dxa"/>
              <w:left w:w="170" w:type="dxa"/>
              <w:bottom w:w="85" w:type="dxa"/>
              <w:right w:w="170" w:type="dxa"/>
            </w:tcMar>
            <w:vAlign w:val="center"/>
          </w:tcPr>
          <w:p>
            <w:pPr>
              <w:bidi/>
              <w:spacing w:before="0" w:after="40"/>
              <w:jc w:val="both"/>
            </w:pPr>
            <w:r>
              <w:rPr>
                <w:rFonts w:ascii="Frank Ruhl Libre" w:hAnsi="Frank Ruhl Libre" w:cs="Frank Ruhl Libre" w:eastAsia="Frank Ruhl Libre"/>
                <w:b/>
                <w:bCs/>
                <w:color w:val="8A6D1F"/>
                <w:sz w:val="22"/>
                <w:szCs w:val="22"/>
                <w:rtl/>
              </w:rPr>
              <w:t>רש"י:</w:t>
            </w:r>
          </w:p>
          <w:p>
            <w:pPr>
              <w:bidi/>
              <w:spacing w:before="0" w:after="20" w:line="276" w:lineRule="auto"/>
              <w:jc w:val="both"/>
            </w:pPr>
            <w:r>
              <w:rPr>
                <w:rFonts w:ascii="Frank Ruhl Libre" w:hAnsi="Frank Ruhl Libre" w:cs="Frank Ruhl Libre" w:eastAsia="Frank Ruhl Libre"/>
                <w:b/>
                <w:bCs/>
                <w:sz w:val="25"/>
                <w:szCs w:val="25"/>
                <w:rtl/>
              </w:rPr>
              <w:t xml:space="preserve">מבחוץ – </w:t>
            </w:r>
            <w:r>
              <w:rPr>
                <w:rFonts w:ascii="Frank Ruhl Libre" w:hAnsi="Frank Ruhl Libre" w:cs="Frank Ruhl Libre" w:eastAsia="Frank Ruhl Libre"/>
                <w:sz w:val="25"/>
                <w:szCs w:val="25"/>
                <w:rtl/>
              </w:rPr>
              <w:t>משום פרסומי ניסא ולא ברה"ר אלא בחצרו שבתיהן היו פתוחין לחצר</w:t>
            </w:r>
          </w:p>
          <w:p>
            <w:pPr>
              <w:bidi/>
              <w:spacing w:before="0" w:after="20" w:line="276" w:lineRule="auto"/>
              <w:jc w:val="both"/>
            </w:pPr>
            <w:r>
              <w:rPr>
                <w:rFonts w:ascii="Frank Ruhl Libre" w:hAnsi="Frank Ruhl Libre" w:cs="Frank Ruhl Libre" w:eastAsia="Frank Ruhl Libre"/>
                <w:b/>
                <w:bCs/>
                <w:sz w:val="25"/>
                <w:szCs w:val="25"/>
                <w:rtl/>
              </w:rPr>
              <w:t xml:space="preserve">הסכנה – </w:t>
            </w:r>
            <w:r>
              <w:rPr>
                <w:rFonts w:ascii="Frank Ruhl Libre" w:hAnsi="Frank Ruhl Libre" w:cs="Frank Ruhl Libre" w:eastAsia="Frank Ruhl Libre"/>
                <w:sz w:val="25"/>
                <w:szCs w:val="25"/>
                <w:rtl/>
              </w:rPr>
              <w:t>שהיה להם לפרסיים חוק ביום אידם שלא יבעירו נר אלא בבית ע"ז שלהם כדאמרינן בגיטין (פ"ב דף יז:)</w:t>
            </w:r>
          </w:p>
          <w:p>
            <w:pPr>
              <w:bidi/>
              <w:spacing w:before="40" w:after="0"/>
              <w:jc w:val="both"/>
            </w:pPr>
            <w:r>
              <w:rPr>
                <w:rFonts w:ascii="David Libre" w:hAnsi="David Libre" w:cs="David Libre" w:eastAsia="David Libre"/>
                <w:color w:val="666666"/>
                <w:sz w:val="20"/>
                <w:szCs w:val="20"/>
                <w:rtl/>
              </w:rPr>
              <w:t>רש"י, שבת כא ע"ב (ויקיטקסט)</w:t>
            </w:r>
          </w:p>
        </w:tc>
      </w:tr>
    </w:tbl>
    <w:p>
      <w:pPr>
        <w:bidi/>
        <w:spacing w:before="0" w:after="0"/>
        <w:jc w:val="both"/>
      </w:pPr>
      <w:r>
        <w:rPr>
          <w:rFonts w:ascii="Noto Sans Hebrew" w:hAnsi="Noto Sans Hebrew" w:cs="Noto Sans Hebrew" w:eastAsia="Noto Sans Hebrew"/>
          <w:sz w:val="10"/>
          <w:szCs w:val="10"/>
          <w:rtl/>
        </w:rPr>
        <w:t xml:space="preserve"> </w:t>
      </w:r>
    </w:p>
    <w:p>
      <w:pPr>
        <w:bidi/>
        <w:spacing w:before="0" w:after="40" w:line="264" w:lineRule="auto"/>
        <w:jc w:val="both"/>
      </w:pPr>
      <w:r>
        <w:rPr>
          <w:rFonts w:ascii="David Libre" w:hAnsi="David Libre" w:cs="David Libre" w:eastAsia="David Libre"/>
          <w:b/>
          <w:bCs/>
          <w:color w:val="7A3E12"/>
          <w:sz w:val="26"/>
          <w:szCs w:val="26"/>
          <w:rtl/>
        </w:rPr>
        <w:t xml:space="preserve">• </w:t>
      </w:r>
      <w:r>
        <w:rPr>
          <w:rFonts w:ascii="David Libre" w:hAnsi="David Libre" w:cs="David Libre" w:eastAsia="David Libre"/>
          <w:sz w:val="26"/>
          <w:szCs w:val="26"/>
          <w:rtl/>
        </w:rPr>
        <w:t>המקום הרגיל: בפתח הבית מבחוץ – כדי שעוברים ושבים יראו. רש"י מסביר שהמטרה היא «פרסומי ניסא» – לפרסם את הנס.</w:t>
      </w:r>
    </w:p>
    <w:p>
      <w:pPr>
        <w:bidi/>
        <w:spacing w:before="0" w:after="40" w:line="264" w:lineRule="auto"/>
        <w:jc w:val="both"/>
      </w:pPr>
      <w:r>
        <w:rPr>
          <w:rFonts w:ascii="David Libre" w:hAnsi="David Libre" w:cs="David Libre" w:eastAsia="David Libre"/>
          <w:b/>
          <w:bCs/>
          <w:color w:val="7A3E12"/>
          <w:sz w:val="26"/>
          <w:szCs w:val="26"/>
          <w:rtl/>
        </w:rPr>
        <w:t xml:space="preserve">• </w:t>
      </w:r>
      <w:r>
        <w:rPr>
          <w:rFonts w:ascii="David Libre" w:hAnsi="David Libre" w:cs="David Libre" w:eastAsia="David Libre"/>
          <w:sz w:val="26"/>
          <w:szCs w:val="26"/>
          <w:rtl/>
        </w:rPr>
        <w:t>מי שגר בקומה עליונה: בחלון הפונה לרשות הרבים.</w:t>
      </w:r>
    </w:p>
    <w:p>
      <w:pPr>
        <w:bidi/>
        <w:spacing w:before="0" w:after="40" w:line="264" w:lineRule="auto"/>
        <w:jc w:val="both"/>
      </w:pPr>
      <w:r>
        <w:rPr>
          <w:rFonts w:ascii="David Libre" w:hAnsi="David Libre" w:cs="David Libre" w:eastAsia="David Libre"/>
          <w:b/>
          <w:bCs/>
          <w:color w:val="7A3E12"/>
          <w:sz w:val="26"/>
          <w:szCs w:val="26"/>
          <w:rtl/>
        </w:rPr>
        <w:t xml:space="preserve">• </w:t>
      </w:r>
      <w:r>
        <w:rPr>
          <w:rFonts w:ascii="David Libre" w:hAnsi="David Libre" w:cs="David Libre" w:eastAsia="David Libre"/>
          <w:sz w:val="26"/>
          <w:szCs w:val="26"/>
          <w:rtl/>
        </w:rPr>
        <w:t>בזמן סכנה: על השולחן בתוך הבית – וזה מספיק («ודיו»).</w:t>
      </w:r>
    </w:p>
    <w:p>
      <w:pPr>
        <w:bidi/>
        <w:spacing w:before="0" w:after="40" w:line="264" w:lineRule="auto"/>
        <w:jc w:val="both"/>
      </w:pPr>
      <w:r>
        <w:rPr>
          <w:rFonts w:ascii="David Libre" w:hAnsi="David Libre" w:cs="David Libre" w:eastAsia="David Libre"/>
          <w:b/>
          <w:bCs/>
          <w:color w:val="7A3E12"/>
          <w:sz w:val="26"/>
          <w:szCs w:val="26"/>
          <w:rtl/>
        </w:rPr>
        <w:t xml:space="preserve">• </w:t>
      </w:r>
      <w:r>
        <w:rPr>
          <w:rFonts w:ascii="David Libre" w:hAnsi="David Libre" w:cs="David Libre" w:eastAsia="David Libre"/>
          <w:sz w:val="26"/>
          <w:szCs w:val="26"/>
          <w:rtl/>
        </w:rPr>
        <w:t>אסור ליהנות מאור נר החנוכה, ולכן רבא אומר שצריך נר נוסף לשימוש. אם יש מדורה דולקת – אין צורך, ואדם חשוב (שאינו רגיל להשתמש באור מדורה) צריך נר נוסף בכל מקרה.</w:t>
      </w:r>
    </w:p>
    <w:p>
      <w:pPr>
        <w:bidi/>
        <w:spacing w:before="0" w:after="0"/>
        <w:jc w:val="both"/>
      </w:pPr>
      <w:r>
        <w:rPr>
          <w:rFonts w:ascii="Noto Sans Hebrew" w:hAnsi="Noto Sans Hebrew" w:cs="Noto Sans Hebrew" w:eastAsia="Noto Sans Hebrew"/>
          <w:sz w:val="8"/>
          <w:szCs w:val="8"/>
          <w:rtl/>
        </w:rPr>
        <w:t xml:space="preserve"> </w:t>
      </w:r>
    </w:p>
    <w:p>
      <w:pPr>
        <w:keepNext/>
        <w:bidi/>
        <w:spacing w:before="160" w:after="60"/>
        <w:jc w:val="both"/>
      </w:pPr>
      <w:r>
        <w:rPr>
          <w:rFonts w:ascii="Frank Ruhl Libre" w:hAnsi="Frank Ruhl Libre" w:cs="Frank Ruhl Libre" w:eastAsia="Frank Ruhl Libre"/>
          <w:b/>
          <w:bCs/>
          <w:color w:val="7A3E12"/>
          <w:sz w:val="32"/>
          <w:szCs w:val="32"/>
          <w:rtl/>
        </w:rPr>
        <w:t>4</w:t>
      </w:r>
      <w:r>
        <w:rPr>
          <w:rFonts w:ascii="Frank Ruhl Libre" w:hAnsi="Frank Ruhl Libre" w:cs="Frank Ruhl Libre" w:eastAsia="Frank Ruhl Libre"/>
          <w:b/>
          <w:bCs/>
          <w:color w:val="7A3E12"/>
          <w:sz w:val="32"/>
          <w:szCs w:val="32"/>
          <w:rtl/>
        </w:rPr>
        <w:t>. "מאי חנוכה?" – על איזה נס נקבע החג</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nil" w:sz="0" w:space="0" w:color="FFFFFF"/>
              <w:left w:val="nil" w:sz="0" w:space="0" w:color="FFFFFF"/>
              <w:bottom w:val="nil" w:sz="0" w:space="0" w:color="FFFFFF"/>
              <w:right w:val="single" w:sz="24" w:space="0" w:color="7A3E12"/>
            </w:tcBorders>
            <w:shd w:val="clear" w:color="auto" w:fill="FBF3EA"/>
            <w:tcMar>
              <w:top w:w="113" w:type="dxa"/>
              <w:left w:w="198" w:type="dxa"/>
              <w:bottom w:w="113" w:type="dxa"/>
              <w:right w:w="198" w:type="dxa"/>
            </w:tcMar>
            <w:vAlign w:val="center"/>
          </w:tcPr>
          <w:p>
            <w:pPr>
              <w:bidi/>
              <w:spacing w:before="0" w:after="40"/>
              <w:jc w:val="both"/>
            </w:pPr>
            <w:r>
              <w:rPr>
                <w:rFonts w:ascii="Frank Ruhl Libre" w:hAnsi="Frank Ruhl Libre" w:cs="Frank Ruhl Libre" w:eastAsia="Frank Ruhl Libre"/>
                <w:b/>
                <w:bCs/>
                <w:color w:val="7A3E12"/>
                <w:sz w:val="22"/>
                <w:szCs w:val="22"/>
                <w:rtl/>
              </w:rPr>
              <w:t>הגמרא</w:t>
            </w:r>
          </w:p>
          <w:p>
            <w:pPr>
              <w:bidi/>
              <w:spacing w:before="0" w:after="0" w:line="300" w:lineRule="auto"/>
              <w:jc w:val="both"/>
            </w:pPr>
            <w:r>
              <w:rPr>
                <w:rFonts w:ascii="Frank Ruhl Libre" w:hAnsi="Frank Ruhl Libre" w:cs="Frank Ruhl Libre" w:eastAsia="Frank Ruhl Libre"/>
                <w:sz w:val="30"/>
                <w:szCs w:val="30"/>
                <w:rtl/>
              </w:rPr>
              <w:t>מאי חנוכה דתנו רבנן בכ"ה בכסליו יומי דחנוכה תמניא אינון דלא למספד בהון ודלא להתענות בהון שכשנכנסו יוונים להיכל טמאו כל השמנים שבהיכל וכשגברה מלכות בית חשמונאי ונצחום בדקו ולא מצאו אלא פך אחד של שמן שהיה מונח בחותמו של כהן גדול ולא היה בו אלא להדליק יום אחד נעשה בו נס והדליקו ממנו שמונה ימים לשנה אחרת קבעום ועשאום ימים טובים בהלל והודאה</w:t>
            </w:r>
          </w:p>
          <w:p>
            <w:pPr>
              <w:bidi/>
              <w:spacing w:before="40" w:after="0"/>
              <w:jc w:val="both"/>
            </w:pPr>
            <w:r>
              <w:rPr>
                <w:rFonts w:ascii="David Libre" w:hAnsi="David Libre" w:cs="David Libre" w:eastAsia="David Libre"/>
                <w:color w:val="666666"/>
                <w:sz w:val="20"/>
                <w:szCs w:val="20"/>
                <w:rtl/>
              </w:rPr>
              <w:t>תלמוד בבלי, מסכת שבת דף כא ע"ב (נוסח: ויקיטקסט – he.wikisource.org/wiki/שבת_כא_ב)</w:t>
            </w:r>
          </w:p>
        </w:tc>
      </w:tr>
    </w:tbl>
    <w:p>
      <w:pPr>
        <w:bidi/>
        <w:spacing w:before="0" w:after="0"/>
        <w:jc w:val="both"/>
      </w:pPr>
      <w:r>
        <w:rPr>
          <w:rFonts w:ascii="Noto Sans Hebrew" w:hAnsi="Noto Sans Hebrew" w:cs="Noto Sans Hebrew" w:eastAsia="Noto Sans Hebrew"/>
          <w:sz w:val="10"/>
          <w:szCs w:val="10"/>
          <w:rtl/>
        </w:rPr>
        <w:t xml:space="preserve"> </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single" w:sz="4" w:space="0" w:color="C8B27A"/>
              <w:left w:val="single" w:sz="4" w:space="0" w:color="C8B27A"/>
              <w:bottom w:val="single" w:sz="4" w:space="0" w:color="C8B27A"/>
              <w:right w:val="single" w:sz="4" w:space="0" w:color="C8B27A"/>
            </w:tcBorders>
            <w:shd w:val="clear" w:color="auto" w:fill="FBF7EE"/>
            <w:tcMar>
              <w:top w:w="85" w:type="dxa"/>
              <w:left w:w="170" w:type="dxa"/>
              <w:bottom w:w="85" w:type="dxa"/>
              <w:right w:w="170" w:type="dxa"/>
            </w:tcMar>
            <w:vAlign w:val="center"/>
          </w:tcPr>
          <w:p>
            <w:pPr>
              <w:bidi/>
              <w:spacing w:before="0" w:after="40"/>
              <w:jc w:val="both"/>
            </w:pPr>
            <w:r>
              <w:rPr>
                <w:rFonts w:ascii="Frank Ruhl Libre" w:hAnsi="Frank Ruhl Libre" w:cs="Frank Ruhl Libre" w:eastAsia="Frank Ruhl Libre"/>
                <w:b/>
                <w:bCs/>
                <w:color w:val="8A6D1F"/>
                <w:sz w:val="22"/>
                <w:szCs w:val="22"/>
                <w:rtl/>
              </w:rPr>
              <w:t>רש"י:</w:t>
            </w:r>
          </w:p>
          <w:p>
            <w:pPr>
              <w:bidi/>
              <w:spacing w:before="0" w:after="20" w:line="276" w:lineRule="auto"/>
              <w:jc w:val="both"/>
            </w:pPr>
            <w:r>
              <w:rPr>
                <w:rFonts w:ascii="Frank Ruhl Libre" w:hAnsi="Frank Ruhl Libre" w:cs="Frank Ruhl Libre" w:eastAsia="Frank Ruhl Libre"/>
                <w:b/>
                <w:bCs/>
                <w:sz w:val="25"/>
                <w:szCs w:val="25"/>
                <w:rtl/>
              </w:rPr>
              <w:t xml:space="preserve">מאי חנוכה – </w:t>
            </w:r>
            <w:r>
              <w:rPr>
                <w:rFonts w:ascii="Frank Ruhl Libre" w:hAnsi="Frank Ruhl Libre" w:cs="Frank Ruhl Libre" w:eastAsia="Frank Ruhl Libre"/>
                <w:sz w:val="25"/>
                <w:szCs w:val="25"/>
                <w:rtl/>
              </w:rPr>
              <w:t>על איזה נס קבעוה</w:t>
            </w:r>
          </w:p>
          <w:p>
            <w:pPr>
              <w:bidi/>
              <w:spacing w:before="0" w:after="20" w:line="276" w:lineRule="auto"/>
              <w:jc w:val="both"/>
            </w:pPr>
            <w:r>
              <w:rPr>
                <w:rFonts w:ascii="Frank Ruhl Libre" w:hAnsi="Frank Ruhl Libre" w:cs="Frank Ruhl Libre" w:eastAsia="Frank Ruhl Libre"/>
                <w:b/>
                <w:bCs/>
                <w:sz w:val="25"/>
                <w:szCs w:val="25"/>
                <w:rtl/>
              </w:rPr>
              <w:t xml:space="preserve">בחותמו – </w:t>
            </w:r>
            <w:r>
              <w:rPr>
                <w:rFonts w:ascii="Frank Ruhl Libre" w:hAnsi="Frank Ruhl Libre" w:cs="Frank Ruhl Libre" w:eastAsia="Frank Ruhl Libre"/>
                <w:sz w:val="25"/>
                <w:szCs w:val="25"/>
                <w:rtl/>
              </w:rPr>
              <w:t>בהצנע וחתום בטבעתו והכיר שלא נגעו בו</w:t>
            </w:r>
          </w:p>
          <w:p>
            <w:pPr>
              <w:bidi/>
              <w:spacing w:before="0" w:after="20" w:line="276" w:lineRule="auto"/>
              <w:jc w:val="both"/>
            </w:pPr>
            <w:r>
              <w:rPr>
                <w:rFonts w:ascii="Frank Ruhl Libre" w:hAnsi="Frank Ruhl Libre" w:cs="Frank Ruhl Libre" w:eastAsia="Frank Ruhl Libre"/>
                <w:b/>
                <w:bCs/>
                <w:sz w:val="25"/>
                <w:szCs w:val="25"/>
                <w:rtl/>
              </w:rPr>
              <w:t xml:space="preserve">ה"ג ועשאום ימים טובים בהלל והודאה – </w:t>
            </w:r>
            <w:r>
              <w:rPr>
                <w:rFonts w:ascii="Frank Ruhl Libre" w:hAnsi="Frank Ruhl Libre" w:cs="Frank Ruhl Libre" w:eastAsia="Frank Ruhl Libre"/>
                <w:sz w:val="25"/>
                <w:szCs w:val="25"/>
                <w:rtl/>
              </w:rPr>
              <w:t>לא שאסורין במלאכה שלא נקבעו אלא לקרות הלל ולומר על הנסים בהודאה</w:t>
            </w:r>
          </w:p>
          <w:p>
            <w:pPr>
              <w:bidi/>
              <w:spacing w:before="40" w:after="0"/>
              <w:jc w:val="both"/>
            </w:pPr>
            <w:r>
              <w:rPr>
                <w:rFonts w:ascii="David Libre" w:hAnsi="David Libre" w:cs="David Libre" w:eastAsia="David Libre"/>
                <w:color w:val="666666"/>
                <w:sz w:val="20"/>
                <w:szCs w:val="20"/>
                <w:rtl/>
              </w:rPr>
              <w:t>רש"י, שבת כא ע"ב (ויקיטקסט)</w:t>
            </w:r>
          </w:p>
        </w:tc>
      </w:tr>
    </w:tbl>
    <w:p>
      <w:pPr>
        <w:bidi/>
        <w:spacing w:before="0" w:after="0"/>
        <w:jc w:val="both"/>
      </w:pPr>
      <w:r>
        <w:rPr>
          <w:rFonts w:ascii="Noto Sans Hebrew" w:hAnsi="Noto Sans Hebrew" w:cs="Noto Sans Hebrew" w:eastAsia="Noto Sans Hebrew"/>
          <w:sz w:val="10"/>
          <w:szCs w:val="10"/>
          <w:rtl/>
        </w:rPr>
        <w:t xml:space="preserve"> </w:t>
      </w:r>
    </w:p>
    <w:p>
      <w:pPr>
        <w:bidi/>
        <w:spacing w:before="0" w:after="80" w:line="276" w:lineRule="auto"/>
        <w:jc w:val="both"/>
      </w:pPr>
      <w:r>
        <w:rPr>
          <w:rFonts w:ascii="David Libre" w:hAnsi="David Libre" w:cs="David Libre" w:eastAsia="David Libre"/>
          <w:sz w:val="26"/>
          <w:szCs w:val="26"/>
          <w:rtl/>
        </w:rPr>
        <w:t>הגמרא מצטטת מ«מגילת תענית» – רשימה עתיקה של ימים שבהם אסור להספיד ולהתענות. היוונים נכנסו להיכל וטימאו את השמנים. כשהחשמונאים ניצחו, הם מצאו פך יחיד של שמן שעדיין היה חתום בחותם הכהן הגדול – סימן שאיש לא נגע בו. היה בו שמן ליום אחד, והוא דלק שמונה ימים. בשנה שלאחר מכן קבעו את הימים האלה כימים טובים של הלל והודאה – לא כימים שאסור בהם לעשות מלאכה.</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single" w:sz="8" w:space="0" w:color="A0632B"/>
              <w:left w:val="single" w:sz="8" w:space="0" w:color="A0632B"/>
              <w:bottom w:val="single" w:sz="8" w:space="0" w:color="A0632B"/>
              <w:right w:val="single" w:sz="8" w:space="0" w:color="A0632B"/>
            </w:tcBorders>
            <w:shd w:val="clear" w:color="auto" w:fill="FBF3EA"/>
            <w:tcMar>
              <w:top w:w="113" w:type="dxa"/>
              <w:left w:w="198" w:type="dxa"/>
              <w:bottom w:w="113" w:type="dxa"/>
              <w:right w:w="198" w:type="dxa"/>
            </w:tcMar>
            <w:vAlign w:val="center"/>
          </w:tcPr>
          <w:p>
            <w:pPr>
              <w:bidi/>
              <w:spacing w:before="0" w:after="60"/>
              <w:jc w:val="both"/>
            </w:pPr>
            <w:r>
              <w:rPr>
                <w:rFonts w:ascii="Frank Ruhl Libre" w:hAnsi="Frank Ruhl Libre" w:cs="Frank Ruhl Libre" w:eastAsia="Frank Ruhl Libre"/>
                <w:b/>
                <w:bCs/>
                <w:color w:val="7A3E12"/>
                <w:sz w:val="26"/>
                <w:szCs w:val="26"/>
                <w:rtl/>
              </w:rPr>
              <w:t>מילון ארמית קטן</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ת"ר = תנו רבנן – כך לימדו החכמים (פתיחה של ברייתא)</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פליגי בה תרי אמוראי = נחלקו בזה שני אמוראים</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במערבא = במערב, כלומר בארץ ישראל (ממבט של בבל)</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טעמא = הטעם, הסיבה</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אע"ג = אף על גב – אף על פי</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מדורה = אש גדולה (בגמרא: אש להתחמם ולהאיר)</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תמניא = שמונה</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דלא למספד בהון = שלא להספיד בהם</w:t>
            </w:r>
          </w:p>
        </w:tc>
      </w:tr>
    </w:tbl>
    <w:p>
      <w:pPr>
        <w:bidi/>
        <w:spacing w:before="0" w:after="0"/>
        <w:jc w:val="both"/>
      </w:pPr>
      <w:r>
        <w:rPr>
          <w:rFonts w:ascii="Noto Sans Hebrew" w:hAnsi="Noto Sans Hebrew" w:cs="Noto Sans Hebrew" w:eastAsia="Noto Sans Hebrew"/>
          <w:sz w:val="10"/>
          <w:szCs w:val="10"/>
          <w:rtl/>
        </w:rPr>
        <w:t xml:space="preserve"> </w:t>
      </w:r>
    </w:p>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tcBorders>
              <w:top w:val="single" w:sz="8" w:space="0" w:color="A0632B"/>
              <w:left w:val="single" w:sz="8" w:space="0" w:color="A0632B"/>
              <w:bottom w:val="single" w:sz="8" w:space="0" w:color="A0632B"/>
              <w:right w:val="single" w:sz="8" w:space="0" w:color="A0632B"/>
            </w:tcBorders>
            <w:shd w:val="clear" w:color="auto" w:fill="FBF3EA"/>
            <w:tcMar>
              <w:top w:w="113" w:type="dxa"/>
              <w:left w:w="198" w:type="dxa"/>
              <w:bottom w:w="113" w:type="dxa"/>
              <w:right w:w="198" w:type="dxa"/>
            </w:tcMar>
            <w:vAlign w:val="center"/>
          </w:tcPr>
          <w:p>
            <w:pPr>
              <w:bidi/>
              <w:spacing w:before="0" w:after="60"/>
              <w:jc w:val="both"/>
            </w:pPr>
            <w:r>
              <w:rPr>
                <w:rFonts w:ascii="Frank Ruhl Libre" w:hAnsi="Frank Ruhl Libre" w:cs="Frank Ruhl Libre" w:eastAsia="Frank Ruhl Libre"/>
                <w:b/>
                <w:bCs/>
                <w:color w:val="7A3E12"/>
                <w:sz w:val="26"/>
                <w:szCs w:val="26"/>
                <w:rtl/>
              </w:rPr>
              <w:t>הלכה למעשה</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ההלכה נפסקה כבית הלל: מדליקים נר אחד בלילה הראשון ומוסיפים בכל לילה.</w:t>
            </w:r>
          </w:p>
          <w:p>
            <w:pPr>
              <w:bidi/>
              <w:spacing w:before="0" w:after="40"/>
              <w:jc w:val="both"/>
            </w:pPr>
            <w:r>
              <w:rPr>
                <w:rFonts w:ascii="David Libre" w:hAnsi="David Libre" w:cs="David Libre" w:eastAsia="David Libre"/>
                <w:b/>
                <w:bCs/>
                <w:color w:val="7A3E12"/>
                <w:sz w:val="25"/>
                <w:szCs w:val="25"/>
                <w:rtl/>
              </w:rPr>
              <w:t xml:space="preserve">• </w:t>
            </w:r>
            <w:r>
              <w:rPr>
                <w:rFonts w:ascii="David Libre" w:hAnsi="David Libre" w:cs="David Libre" w:eastAsia="David Libre"/>
                <w:sz w:val="25"/>
                <w:szCs w:val="25"/>
                <w:rtl/>
              </w:rPr>
              <w:t>לפי השולחן ערוך (אורח חיים תרעא, ב) מדליק אחד עבור כל בני הבית; לפי הרמ"א כל אחד מבני הבית מדליק – וכך נוהגים רוב האשכנזים.</w:t>
            </w:r>
          </w:p>
        </w:tc>
      </w:tr>
    </w:tbl>
    <w:p>
      <w:pPr>
        <w:bidi/>
        <w:spacing w:before="0" w:after="0"/>
        <w:jc w:val="both"/>
      </w:pPr>
      <w:r>
        <w:rPr>
          <w:rFonts w:ascii="Noto Sans Hebrew" w:hAnsi="Noto Sans Hebrew" w:cs="Noto Sans Hebrew" w:eastAsia="Noto Sans Hebrew"/>
          <w:sz w:val="10"/>
          <w:szCs w:val="10"/>
          <w:rtl/>
        </w:rPr>
        <w:t xml:space="preserve"> </w:t>
      </w:r>
    </w:p>
    <w:p>
      <w:pPr>
        <w:bidi/>
        <w:spacing w:before="160" w:after="0"/>
        <w:jc w:val="both"/>
      </w:pPr>
      <w:r>
        <w:rPr>
          <w:rFonts w:ascii="David Libre" w:hAnsi="David Libre" w:cs="David Libre" w:eastAsia="David Libre"/>
          <w:color w:val="777777"/>
          <w:sz w:val="19"/>
          <w:szCs w:val="19"/>
          <w:rtl/>
        </w:rPr>
        <w:t>נוסח הגמרא ורש"י הובא כלשונו מוויקיטקסט (he.wikisource.org/wiki/שבת_כא_ב). ההסברים, הטבלאות והשאלות – ניסוח מקורי.</w:t>
      </w:r>
    </w:p>
    <w:sectPr w:rsidR="00FC693F" w:rsidRPr="0006063C" w:rsidSect="00034616">
      <w:headerReference w:type="default" r:id="rId9"/>
      <w:footerReference w:type="default" r:id="rId10"/>
      <w:pgSz w:w="11906" w:h="16838"/>
      <w:pgMar w:top="624" w:right="794" w:bottom="567" w:left="794" w:header="227" w:footer="283"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0"/>
      <w:jc w:val="center"/>
    </w:pPr>
    <w:r>
      <w:rPr>
        <w:rFonts w:ascii="Noto Sans Hebrew" w:hAnsi="Noto Sans Hebrew" w:cs="Noto Sans Hebrew" w:eastAsia="Noto Sans Hebrew"/>
        <w:color w:val="777777"/>
        <w:sz w:val="24"/>
        <w:szCs w:val="24"/>
        <w:rtl/>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spacing w:before="0" w:after="0"/>
      <w:jc w:val="both"/>
    </w:pPr>
    <w:r>
      <w:rPr>
        <w:rFonts w:ascii="David Libre" w:hAnsi="David Libre" w:cs="David Libre" w:eastAsia="David Libre"/>
        <w:b/>
        <w:bCs/>
        <w:color w:val="555555"/>
        <w:sz w:val="24"/>
        <w:szCs w:val="24"/>
        <w:rtl/>
        <w:b/>
        <w:bCs/>
        <w:color w:val="666666"/>
        <w:sz w:val="22"/>
        <w:szCs w:val="22"/>
        <w:rtl/>
      </w:rPr>
      <w:t>בס"ד</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spacing w:after="0" w:line="240" w:lineRule="auto"/>
    </w:pPr>
    <w:rPr>
      <w:rFonts w:ascii="Noto Sans Hebrew" w:hAnsi="Noto Sans Hebrew" w:cs="Noto Sans Hebrew" w:eastAsia="Noto Sans Hebrew"/>
      <w:sz w:val="36"/>
      <w:szCs w:val="36"/>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