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/>
        <w:bidi/>
        <w:spacing w:after="0" w:before="0" w:line="240" w:lineRule="auto"/>
        <w:jc w:val="both"/>
      </w:pPr>
      <w:r>
        <w:rPr>
          <w:rFonts w:ascii="Rubik Medium MG" w:cs="Rubik Medium MG" w:hAnsi="Rubik Medium MG"/>
          <w:b w:val="false"/>
          <w:color w:val="5E6470"/>
          <w:sz w:val="22"/>
          <w:szCs w:val="22"/>
          <w:rtl/>
        </w:rPr>
        <w:t xml:space="preserve">בס"ד</w:t>
      </w:r>
    </w:p>
    <w:tbl>
      <w:tblPr>
        <w:bidiVisual/>
        <w:tblW w:type="dxa" w:w="155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00"/>
        <w:gridCol w:w="9900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56"/>
                <w:szCs w:val="56"/>
                <w:rtl/>
              </w:rPr>
              <w:t xml:space="preserve">סֵדֶר הַחֲנִיָּה שֶׁל הַשְּׁבָטִים</w:t>
            </w:r>
          </w:p>
          <w:p>
            <w:pPr>
              <w:keepNext w:val="false"/>
              <w:keepLines/>
              <w:bidi/>
              <w:spacing w:after="1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B8902F"/>
                <w:sz w:val="26"/>
                <w:szCs w:val="26"/>
                <w:rtl/>
              </w:rPr>
              <w:t xml:space="preserve">חומש במדבר · פרקים ב–ג · כיתה ה'</w:t>
            </w:r>
          </w:p>
          <w:tbl>
            <w:tblPr>
              <w:bidiVisual/>
              <w:tblW w:type="dxa" w:w="53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0"/>
            </w:tblGrid>
            <w:tr>
              <w:tc>
                <w:tcPr>
                  <w:tcW w:type="dxa" w:w="5300"/>
                  <w:tcBorders>
                    <w:top w:val="single" w:color="1F3A5F" w:sz="16"/>
                    <w:left w:val="single" w:color="1F3A5F" w:sz="16"/>
                    <w:bottom w:val="single" w:color="1F3A5F" w:sz="16"/>
                    <w:right w:val="single" w:color="1F3A5F" w:sz="16"/>
                  </w:tcBorders>
                  <w:shd w:fill="F4F7FB" w:color="auto" w:val="clear"/>
                  <w:tcMar>
                    <w:top w:type="dxa" w:w="100"/>
                    <w:left w:type="dxa" w:w="140"/>
                    <w:bottom w:type="dxa" w:w="10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40" w:before="0"/>
                    <w:jc w:val="center"/>
                  </w:pPr>
                  <w:r>
                    <w:rPr>
                      <w:rFonts w:ascii="Rubik Bold MG" w:cs="Rubik Bold MG" w:hAnsi="Rubik Bold MG"/>
                      <w:b/>
                      <w:bCs/>
                      <w:color w:val="1F3A5F"/>
                      <w:sz w:val="28"/>
                      <w:szCs w:val="28"/>
                      <w:rtl/>
                    </w:rPr>
                    <w:t xml:space="preserve">סֵדֶר הַמַּסָּע (במדבר י)</w:t>
                  </w:r>
                </w:p>
                <w:p>
                  <w:pPr>
                    <w:keepNext w:val="false"/>
                    <w:keepLines/>
                    <w:bidi/>
                    <w:spacing w:after="4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E07B2A"/>
                      <w:sz w:val="30"/>
                      <w:szCs w:val="30"/>
                      <w:rtl/>
                    </w:rPr>
                    <w:t xml:space="preserve">1.  </w:t>
                  </w:r>
                  <w:r>
                    <w:rPr>
                      <w:rFonts w:ascii="Rubik Bold MG" w:cs="Rubik Bold MG" w:hAnsi="Rubik Bold MG"/>
                      <w:b w:val="false"/>
                      <w:color w:val="9A4A10"/>
                      <w:sz w:val="30"/>
                      <w:szCs w:val="30"/>
                      <w:rtl/>
                    </w:rPr>
                    <w:t xml:space="preserve">דֶּגֶל מַחֲנֵה יְהוּדָה</w:t>
                  </w:r>
                  <w:r>
                    <w:rPr>
                      <w:rFonts w:ascii="Rubik MG" w:cs="Rubik MG" w:hAnsi="Rubik MG"/>
                      <w:b w:val="false"/>
                      <w:color w:val="5E6470"/>
                      <w:sz w:val="24"/>
                      <w:szCs w:val="24"/>
                      <w:rtl/>
                    </w:rPr>
                    <w:t xml:space="preserve">  · מזרח</w:t>
                  </w:r>
                </w:p>
                <w:p>
                  <w:pPr>
                    <w:keepNext w:val="false"/>
                    <w:keepLines/>
                    <w:bidi/>
                    <w:spacing w:after="4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C23B3B"/>
                      <w:sz w:val="30"/>
                      <w:szCs w:val="30"/>
                      <w:rtl/>
                    </w:rPr>
                    <w:t xml:space="preserve">2.  </w:t>
                  </w:r>
                  <w:r>
                    <w:rPr>
                      <w:rFonts w:ascii="Rubik Bold MG" w:cs="Rubik Bold MG" w:hAnsi="Rubik Bold MG"/>
                      <w:b w:val="false"/>
                      <w:color w:val="7E1F1F"/>
                      <w:sz w:val="30"/>
                      <w:szCs w:val="30"/>
                      <w:rtl/>
                    </w:rPr>
                    <w:t xml:space="preserve">דֶּגֶל מַחֲנֵה רְאוּבֵן</w:t>
                  </w:r>
                  <w:r>
                    <w:rPr>
                      <w:rFonts w:ascii="Rubik MG" w:cs="Rubik MG" w:hAnsi="Rubik MG"/>
                      <w:b w:val="false"/>
                      <w:color w:val="5E6470"/>
                      <w:sz w:val="24"/>
                      <w:szCs w:val="24"/>
                      <w:rtl/>
                    </w:rPr>
                    <w:t xml:space="preserve">  · דרום</w:t>
                  </w:r>
                </w:p>
                <w:p>
                  <w:pPr>
                    <w:keepNext w:val="false"/>
                    <w:keepLines/>
                    <w:bidi/>
                    <w:spacing w:after="4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2F8A57"/>
                      <w:sz w:val="30"/>
                      <w:szCs w:val="30"/>
                      <w:rtl/>
                    </w:rPr>
                    <w:t xml:space="preserve">3.  </w:t>
                  </w:r>
                  <w:r>
                    <w:rPr>
                      <w:rFonts w:ascii="Rubik Bold MG" w:cs="Rubik Bold MG" w:hAnsi="Rubik Bold MG"/>
                      <w:b w:val="false"/>
                      <w:color w:val="185C35"/>
                      <w:sz w:val="30"/>
                      <w:szCs w:val="30"/>
                      <w:rtl/>
                    </w:rPr>
                    <w:t xml:space="preserve">דֶּגֶל מַחֲנֵה אֶפְרַיִם</w:t>
                  </w:r>
                  <w:r>
                    <w:rPr>
                      <w:rFonts w:ascii="Rubik MG" w:cs="Rubik MG" w:hAnsi="Rubik MG"/>
                      <w:b w:val="false"/>
                      <w:color w:val="5E6470"/>
                      <w:sz w:val="24"/>
                      <w:szCs w:val="24"/>
                      <w:rtl/>
                    </w:rPr>
                    <w:t xml:space="preserve">  · מערב</w:t>
                  </w:r>
                </w:p>
                <w:p>
                  <w:pPr>
                    <w:keepNext w:val="false"/>
                    <w:keepLines/>
                    <w:bidi/>
                    <w:spacing w:after="4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2E66B0"/>
                      <w:sz w:val="30"/>
                      <w:szCs w:val="30"/>
                      <w:rtl/>
                    </w:rPr>
                    <w:t xml:space="preserve">4.  </w:t>
                  </w:r>
                  <w:r>
                    <w:rPr>
                      <w:rFonts w:ascii="Rubik Bold MG" w:cs="Rubik Bold MG" w:hAnsi="Rubik Bold MG"/>
                      <w:b w:val="false"/>
                      <w:color w:val="173F75"/>
                      <w:sz w:val="30"/>
                      <w:szCs w:val="30"/>
                      <w:rtl/>
                    </w:rPr>
                    <w:t xml:space="preserve">דֶּגֶל מַחֲנֵה דָּן</w:t>
                  </w:r>
                  <w:r>
                    <w:rPr>
                      <w:rFonts w:ascii="Rubik MG" w:cs="Rubik MG" w:hAnsi="Rubik MG"/>
                      <w:b w:val="false"/>
                      <w:color w:val="5E6470"/>
                      <w:sz w:val="24"/>
                      <w:szCs w:val="24"/>
                      <w:rtl/>
                    </w:rPr>
                    <w:t xml:space="preserve">  · צפון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G" w:cs="Rubik MG" w:hAnsi="Rubik MG"/>
                      <w:b w:val="false"/>
                      <w:color w:val="4B2E73"/>
                      <w:sz w:val="23"/>
                      <w:szCs w:val="23"/>
                      <w:rtl/>
                    </w:rPr>
                    <w:t xml:space="preserve">המשכן ומחנה לוייה נסעו באמצע (ב, יז)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16"/>
                <w:szCs w:val="16"/>
                <w:rtl/>
              </w:rPr>
              <w:t xml:space="preserve"/>
            </w:r>
          </w:p>
          <w:tbl>
            <w:tblPr>
              <w:bidiVisual/>
              <w:tblW w:type="dxa" w:w="53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0"/>
            </w:tblGrid>
            <w:tr>
              <w:tc>
                <w:tcPr>
                  <w:tcW w:type="dxa" w:w="5300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100"/>
                    <w:left w:type="dxa" w:w="140"/>
                    <w:bottom w:type="dxa" w:w="10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88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אִישׁ עַל־דִּגְלוֹ בְאֹתֹת לְבֵית אֲבֹתָם יַחֲנוּ בְּנֵי יִשְׂרָאֵל מִנֶּגֶד סָבִיב לְאֹהֶל־מוֹעֵד יַחֲנוּ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(במדבר ב, ב)</w:t>
                  </w:r>
                </w:p>
              </w:tc>
            </w:tr>
          </w:tbl>
          <w:p/>
        </w:tc>
        <w:tc>
          <w:tcPr>
            <w:tcW w:type="dxa" w:w="9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6086475" cy="60864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6475" cy="608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6838" w:h="11906" w:orient="landscape"/>
      <w:pgMar w:top="500" w:right="500" w:bottom="500" w:left="5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eastAsia="Rubik MG" w:hAnsi="Rubik MG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5f23c56a895f64939dca20e7cec0c55ab211566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סֵדֶר הַחֲנִיָּה שֶׁל הַשְּׁבָטִים</dc:title>
  <cp:revision>1</cp:revision>
  <dcterms:created xsi:type="dcterms:W3CDTF">2026-10-23T04:03:34.383Z</dcterms:created>
  <dcterms:modified xsi:type="dcterms:W3CDTF">2026-10-23T04:03:34.383Z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